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534"/>
        <w:gridCol w:w="1559"/>
        <w:gridCol w:w="6979"/>
      </w:tblGrid>
      <w:tr w:rsidR="00F12E0E" w:rsidRPr="000F7A9D" w:rsidTr="0028039D">
        <w:trPr>
          <w:cantSplit/>
          <w:trHeight w:val="1134"/>
        </w:trPr>
        <w:tc>
          <w:tcPr>
            <w:tcW w:w="534" w:type="dxa"/>
            <w:textDirection w:val="btLr"/>
          </w:tcPr>
          <w:p w:rsidR="00F12E0E" w:rsidRDefault="00F12E0E" w:rsidP="00F12E0E">
            <w:pPr>
              <w:spacing w:after="0" w:line="240" w:lineRule="auto"/>
              <w:ind w:left="113" w:right="113"/>
            </w:pPr>
            <w:r w:rsidRPr="0028039D">
              <w:rPr>
                <w:b/>
                <w:lang w:val="en-US"/>
              </w:rPr>
              <w:t>2015</w:t>
            </w:r>
            <w:r w:rsidRPr="00C05C35">
              <w:rPr>
                <w:lang w:val="en-US"/>
              </w:rPr>
              <w:t xml:space="preserve">, Vol. </w:t>
            </w:r>
            <w:r w:rsidRPr="0028039D">
              <w:rPr>
                <w:b/>
                <w:lang w:val="en-US"/>
              </w:rPr>
              <w:t>14</w:t>
            </w:r>
            <w:r w:rsidRPr="00C05C35">
              <w:rPr>
                <w:lang w:val="en-US"/>
              </w:rPr>
              <w:t xml:space="preserve">, No. </w:t>
            </w:r>
            <w:r w:rsidRPr="0028039D">
              <w:rPr>
                <w:b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F12E0E" w:rsidRPr="00C05C35" w:rsidRDefault="00F12E0E" w:rsidP="00F12E0E">
            <w:pPr>
              <w:spacing w:after="0" w:line="240" w:lineRule="auto"/>
              <w:jc w:val="center"/>
              <w:rPr>
                <w:b/>
              </w:rPr>
            </w:pPr>
            <w:r>
              <w:object w:dxaOrig="810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1pt;height:111.2pt" o:ole="">
                  <v:imagedata r:id="rId9" o:title=""/>
                </v:shape>
                <o:OLEObject Type="Embed" ProgID="PBrush" ShapeID="_x0000_i1025" DrawAspect="Content" ObjectID="_1513930768" r:id="rId10"/>
              </w:object>
            </w:r>
          </w:p>
        </w:tc>
        <w:tc>
          <w:tcPr>
            <w:tcW w:w="6979" w:type="dxa"/>
            <w:shd w:val="clear" w:color="auto" w:fill="auto"/>
          </w:tcPr>
          <w:p w:rsidR="00F12E0E" w:rsidRPr="00E1265D" w:rsidRDefault="00F12E0E" w:rsidP="00F12E0E">
            <w:pPr>
              <w:spacing w:after="0" w:line="240" w:lineRule="auto"/>
              <w:jc w:val="right"/>
              <w:rPr>
                <w:b/>
                <w:sz w:val="24"/>
                <w:szCs w:val="24"/>
                <w:lang w:val="pl-PL"/>
              </w:rPr>
            </w:pPr>
            <w:r w:rsidRPr="00E1265D">
              <w:rPr>
                <w:b/>
                <w:sz w:val="24"/>
                <w:szCs w:val="24"/>
                <w:lang w:val="pl-PL"/>
              </w:rPr>
              <w:t>Krzysztof Wach</w:t>
            </w:r>
          </w:p>
          <w:p w:rsidR="00F12E0E" w:rsidRPr="00F12E0E" w:rsidRDefault="00F12E0E" w:rsidP="00F12E0E">
            <w:pPr>
              <w:spacing w:after="0" w:line="240" w:lineRule="auto"/>
              <w:jc w:val="right"/>
              <w:rPr>
                <w:lang w:val="pl-PL"/>
              </w:rPr>
            </w:pPr>
            <w:r w:rsidRPr="00F12E0E">
              <w:rPr>
                <w:lang w:val="pl-PL"/>
              </w:rPr>
              <w:t>Uniwersytet Ekonomiczny w Krakowie</w:t>
            </w:r>
          </w:p>
          <w:p w:rsidR="00F12E0E" w:rsidRPr="00F12E0E" w:rsidRDefault="00F12E0E" w:rsidP="00F12E0E">
            <w:pPr>
              <w:spacing w:after="0" w:line="240" w:lineRule="auto"/>
              <w:jc w:val="right"/>
              <w:rPr>
                <w:lang w:val="pl-PL"/>
              </w:rPr>
            </w:pPr>
            <w:r w:rsidRPr="00F12E0E">
              <w:rPr>
                <w:lang w:val="pl-PL"/>
              </w:rPr>
              <w:t xml:space="preserve">Wydział Ekonomii </w:t>
            </w:r>
            <w:r>
              <w:rPr>
                <w:lang w:val="pl-PL"/>
              </w:rPr>
              <w:t>i</w:t>
            </w:r>
            <w:r w:rsidRPr="00F12E0E">
              <w:rPr>
                <w:lang w:val="pl-PL"/>
              </w:rPr>
              <w:t xml:space="preserve"> </w:t>
            </w:r>
            <w:r>
              <w:rPr>
                <w:lang w:val="pl-PL"/>
              </w:rPr>
              <w:t>Stosunków Między</w:t>
            </w:r>
            <w:r w:rsidRPr="00F12E0E">
              <w:rPr>
                <w:lang w:val="pl-PL"/>
              </w:rPr>
              <w:t>narodowych</w:t>
            </w:r>
          </w:p>
          <w:p w:rsidR="00F12E0E" w:rsidRPr="00F12E0E" w:rsidRDefault="00F12E0E" w:rsidP="00F12E0E">
            <w:pPr>
              <w:spacing w:after="0" w:line="240" w:lineRule="auto"/>
              <w:jc w:val="right"/>
              <w:rPr>
                <w:lang w:val="pl-PL"/>
              </w:rPr>
            </w:pPr>
            <w:r w:rsidRPr="00F12E0E">
              <w:rPr>
                <w:lang w:val="pl-PL"/>
              </w:rPr>
              <w:t xml:space="preserve">Katedra Przedsiębiorczości </w:t>
            </w:r>
            <w:r>
              <w:rPr>
                <w:lang w:val="pl-PL"/>
              </w:rPr>
              <w:t>i</w:t>
            </w:r>
            <w:r w:rsidRPr="00F12E0E">
              <w:rPr>
                <w:lang w:val="pl-PL"/>
              </w:rPr>
              <w:t xml:space="preserve"> Innowacji</w:t>
            </w:r>
          </w:p>
          <w:p w:rsidR="00F12E0E" w:rsidRPr="000F7A9D" w:rsidRDefault="00F12E0E" w:rsidP="00F12E0E">
            <w:pPr>
              <w:spacing w:after="0" w:line="240" w:lineRule="auto"/>
              <w:jc w:val="right"/>
              <w:rPr>
                <w:lang w:val="de-DE"/>
              </w:rPr>
            </w:pPr>
            <w:r w:rsidRPr="00F12E0E">
              <w:rPr>
                <w:lang w:val="pl-PL"/>
              </w:rPr>
              <w:t>e-mail: wachk@uek.krakow.pl</w:t>
            </w:r>
          </w:p>
        </w:tc>
      </w:tr>
    </w:tbl>
    <w:p w:rsidR="00435A3B" w:rsidRDefault="00435A3B" w:rsidP="00435A3B">
      <w:pPr>
        <w:spacing w:after="0" w:line="360" w:lineRule="auto"/>
        <w:rPr>
          <w:b/>
        </w:rPr>
      </w:pPr>
    </w:p>
    <w:p w:rsidR="00E97559" w:rsidRDefault="00A3729B" w:rsidP="00551250">
      <w:pPr>
        <w:spacing w:after="0" w:line="360" w:lineRule="auto"/>
        <w:jc w:val="center"/>
      </w:pPr>
      <w:r w:rsidRPr="0097276D">
        <w:rPr>
          <w:rFonts w:ascii="Times New Roman" w:hAnsi="Times New Roman" w:cs="Times New Roman"/>
          <w:b/>
          <w:sz w:val="36"/>
          <w:szCs w:val="36"/>
          <w:lang w:val="pl-PL"/>
        </w:rPr>
        <w:t>Przedsiębiorczość seniorów</w:t>
      </w:r>
      <w:r w:rsidR="00EF7306" w:rsidRPr="0097276D">
        <w:rPr>
          <w:rFonts w:ascii="Times New Roman" w:hAnsi="Times New Roman" w:cs="Times New Roman"/>
          <w:b/>
          <w:sz w:val="36"/>
          <w:szCs w:val="36"/>
          <w:lang w:val="pl-PL"/>
        </w:rPr>
        <w:t xml:space="preserve"> jako komponent przedsiębiorczości inkluzywnej</w:t>
      </w:r>
      <w:r w:rsidR="00262543">
        <w:rPr>
          <w:rFonts w:ascii="Times New Roman" w:hAnsi="Times New Roman" w:cs="Times New Roman"/>
          <w:b/>
          <w:sz w:val="36"/>
          <w:szCs w:val="36"/>
          <w:lang w:val="pl-PL"/>
        </w:rPr>
        <w:t>: wstępna synteza</w:t>
      </w:r>
      <w:r w:rsidR="009F1E3C" w:rsidRPr="00E1265D">
        <w:rPr>
          <w:rStyle w:val="Odwoanieprzypisudolnego"/>
          <w:b/>
          <w:color w:val="FF0000"/>
          <w:sz w:val="28"/>
          <w:szCs w:val="28"/>
          <w:highlight w:val="yellow"/>
        </w:rPr>
        <w:footnoteReference w:id="1"/>
      </w:r>
      <w:r w:rsidR="00E97559" w:rsidRPr="00E97559">
        <w:t xml:space="preserve"> </w:t>
      </w:r>
    </w:p>
    <w:p w:rsidR="00E97559" w:rsidRDefault="00E97559" w:rsidP="00E97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D0206" w:rsidRDefault="00CD0206" w:rsidP="00E97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97559" w:rsidRDefault="00E97559" w:rsidP="00E97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Streszczenie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E97559">
        <w:t xml:space="preserve"> </w:t>
      </w:r>
      <w:r w:rsidRPr="00E97559">
        <w:rPr>
          <w:rFonts w:ascii="Times New Roman" w:hAnsi="Times New Roman" w:cs="Times New Roman"/>
          <w:sz w:val="24"/>
          <w:szCs w:val="24"/>
          <w:lang w:val="pl-PL"/>
        </w:rPr>
        <w:t xml:space="preserve">Celem artykułu jest omówienie przedsiębiorczości seniorów jako domeny badawczej, uporządkowanie terminologiczne związane z tą domeną, a także ukazanie głównych </w:t>
      </w:r>
      <w:r w:rsidR="00262543">
        <w:rPr>
          <w:rFonts w:ascii="Times New Roman" w:hAnsi="Times New Roman" w:cs="Times New Roman"/>
          <w:sz w:val="24"/>
          <w:szCs w:val="24"/>
          <w:lang w:val="pl-PL"/>
        </w:rPr>
        <w:t xml:space="preserve">wyników </w:t>
      </w:r>
      <w:r w:rsidRPr="00E97559">
        <w:rPr>
          <w:rFonts w:ascii="Times New Roman" w:hAnsi="Times New Roman" w:cs="Times New Roman"/>
          <w:sz w:val="24"/>
          <w:szCs w:val="24"/>
          <w:lang w:val="pl-PL"/>
        </w:rPr>
        <w:t>badan prowadzonych w tym zakresie.</w:t>
      </w:r>
      <w:r w:rsidR="00BF237F">
        <w:rPr>
          <w:rFonts w:ascii="Times New Roman" w:hAnsi="Times New Roman" w:cs="Times New Roman"/>
          <w:sz w:val="24"/>
          <w:szCs w:val="24"/>
          <w:lang w:val="pl-PL"/>
        </w:rPr>
        <w:t xml:space="preserve"> Przedsiębiorczość seniorów staje się jednym z ważniejszych obszarów badań w krajach rozwiniętych, zwłaszcza w obliczu starzenia się społeczeństw tych krajów. Prowadzone badania w zakresie przedsiębiorczości seniorów zajmują się osobami w wieku 50+.</w:t>
      </w:r>
      <w:r w:rsidR="00BF7F5A">
        <w:rPr>
          <w:rFonts w:ascii="Times New Roman" w:hAnsi="Times New Roman" w:cs="Times New Roman"/>
          <w:sz w:val="24"/>
          <w:szCs w:val="24"/>
          <w:lang w:val="pl-PL"/>
        </w:rPr>
        <w:t xml:space="preserve"> D</w:t>
      </w:r>
      <w:r w:rsidR="00BF7F5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otychczasowe </w:t>
      </w:r>
      <w:r w:rsidR="00BF7F5A"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badania wykazały, że osoby starsze są znacznie mniej skłonn</w:t>
      </w:r>
      <w:r w:rsidR="00BF7F5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="00BF7F5A"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podejmowania działalności gospodarczej, niż osoby młodsze</w:t>
      </w:r>
      <w:r w:rsidR="00BF7F5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6C141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Artykuł jest bardzo wstępnym i syntetycznym ujęciem analizowanego problemu. </w:t>
      </w:r>
    </w:p>
    <w:p w:rsidR="00E97559" w:rsidRDefault="00E97559" w:rsidP="00E97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97559" w:rsidRDefault="00E97559" w:rsidP="00E975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97559">
        <w:rPr>
          <w:rFonts w:ascii="Times New Roman" w:hAnsi="Times New Roman" w:cs="Times New Roman"/>
          <w:b/>
          <w:sz w:val="24"/>
          <w:szCs w:val="24"/>
          <w:lang w:val="pl-PL"/>
        </w:rPr>
        <w:t>Słowa kluczowe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przedsiębiorczość, przedsiębiorczość seniorów, przedsiębiorczość trzeciego wieku, srebrna gospodarka, intencje przedsiębiorcze  </w:t>
      </w:r>
    </w:p>
    <w:p w:rsidR="00E97559" w:rsidRPr="00E97559" w:rsidRDefault="00E97559" w:rsidP="00E9755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pl-PL"/>
        </w:rPr>
      </w:pPr>
    </w:p>
    <w:p w:rsidR="00AE35DF" w:rsidRPr="00E97559" w:rsidRDefault="00B77A15" w:rsidP="0055125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Senior e</w:t>
      </w:r>
      <w:r w:rsidR="00E97559" w:rsidRPr="00E97559">
        <w:rPr>
          <w:rFonts w:ascii="Times New Roman" w:hAnsi="Times New Roman" w:cs="Times New Roman"/>
          <w:b/>
          <w:sz w:val="30"/>
          <w:szCs w:val="30"/>
        </w:rPr>
        <w:t xml:space="preserve">ntrepreneurship as a </w:t>
      </w:r>
      <w:r>
        <w:rPr>
          <w:rFonts w:ascii="Times New Roman" w:hAnsi="Times New Roman" w:cs="Times New Roman"/>
          <w:b/>
          <w:sz w:val="30"/>
          <w:szCs w:val="30"/>
        </w:rPr>
        <w:t>c</w:t>
      </w:r>
      <w:r w:rsidR="00E97559" w:rsidRPr="00E97559">
        <w:rPr>
          <w:rFonts w:ascii="Times New Roman" w:hAnsi="Times New Roman" w:cs="Times New Roman"/>
          <w:b/>
          <w:sz w:val="30"/>
          <w:szCs w:val="30"/>
        </w:rPr>
        <w:t xml:space="preserve">omponent </w:t>
      </w:r>
      <w:r w:rsidR="00377243">
        <w:rPr>
          <w:rFonts w:ascii="Times New Roman" w:hAnsi="Times New Roman" w:cs="Times New Roman"/>
          <w:b/>
          <w:sz w:val="30"/>
          <w:szCs w:val="30"/>
        </w:rPr>
        <w:br/>
      </w:r>
      <w:r w:rsidR="00E97559" w:rsidRPr="00E97559">
        <w:rPr>
          <w:rFonts w:ascii="Times New Roman" w:hAnsi="Times New Roman" w:cs="Times New Roman"/>
          <w:b/>
          <w:sz w:val="30"/>
          <w:szCs w:val="30"/>
        </w:rPr>
        <w:t xml:space="preserve">of </w:t>
      </w:r>
      <w:r>
        <w:rPr>
          <w:rFonts w:ascii="Times New Roman" w:hAnsi="Times New Roman" w:cs="Times New Roman"/>
          <w:b/>
          <w:sz w:val="30"/>
          <w:szCs w:val="30"/>
        </w:rPr>
        <w:t>i</w:t>
      </w:r>
      <w:r w:rsidR="00E97559" w:rsidRPr="00E97559">
        <w:rPr>
          <w:rFonts w:ascii="Times New Roman" w:hAnsi="Times New Roman" w:cs="Times New Roman"/>
          <w:b/>
          <w:sz w:val="30"/>
          <w:szCs w:val="30"/>
        </w:rPr>
        <w:t xml:space="preserve">nclusive </w:t>
      </w:r>
      <w:r>
        <w:rPr>
          <w:rFonts w:ascii="Times New Roman" w:hAnsi="Times New Roman" w:cs="Times New Roman"/>
          <w:b/>
          <w:sz w:val="30"/>
          <w:szCs w:val="30"/>
        </w:rPr>
        <w:t>e</w:t>
      </w:r>
      <w:r w:rsidR="00E97559" w:rsidRPr="00E97559">
        <w:rPr>
          <w:rFonts w:ascii="Times New Roman" w:hAnsi="Times New Roman" w:cs="Times New Roman"/>
          <w:b/>
          <w:sz w:val="30"/>
          <w:szCs w:val="30"/>
        </w:rPr>
        <w:t>ntrepreneurship</w:t>
      </w:r>
      <w:r w:rsidR="005265BD">
        <w:rPr>
          <w:rFonts w:ascii="Times New Roman" w:hAnsi="Times New Roman" w:cs="Times New Roman"/>
          <w:b/>
          <w:sz w:val="30"/>
          <w:szCs w:val="30"/>
        </w:rPr>
        <w:t>: a</w:t>
      </w:r>
      <w:r w:rsidR="006C141A">
        <w:rPr>
          <w:rFonts w:ascii="Times New Roman" w:hAnsi="Times New Roman" w:cs="Times New Roman"/>
          <w:b/>
          <w:sz w:val="30"/>
          <w:szCs w:val="30"/>
        </w:rPr>
        <w:t xml:space="preserve"> preliminary </w:t>
      </w:r>
      <w:r w:rsidR="005265BD">
        <w:rPr>
          <w:rFonts w:ascii="Times New Roman" w:hAnsi="Times New Roman" w:cs="Times New Roman"/>
          <w:b/>
          <w:sz w:val="30"/>
          <w:szCs w:val="30"/>
        </w:rPr>
        <w:t>synthesis</w:t>
      </w:r>
    </w:p>
    <w:p w:rsidR="00E97559" w:rsidRPr="00E97559" w:rsidRDefault="00E97559" w:rsidP="00E97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59">
        <w:rPr>
          <w:rFonts w:ascii="Times New Roman" w:hAnsi="Times New Roman" w:cs="Times New Roman"/>
          <w:b/>
          <w:sz w:val="24"/>
          <w:szCs w:val="24"/>
        </w:rPr>
        <w:t>Summary</w:t>
      </w:r>
      <w:r w:rsidRPr="00E97559">
        <w:rPr>
          <w:rFonts w:ascii="Times New Roman" w:hAnsi="Times New Roman" w:cs="Times New Roman"/>
          <w:sz w:val="24"/>
          <w:szCs w:val="24"/>
        </w:rPr>
        <w:t>:</w:t>
      </w:r>
      <w:r w:rsidR="00BF7F5A">
        <w:rPr>
          <w:rFonts w:ascii="Times New Roman" w:hAnsi="Times New Roman" w:cs="Times New Roman"/>
          <w:sz w:val="24"/>
          <w:szCs w:val="24"/>
        </w:rPr>
        <w:t xml:space="preserve"> </w:t>
      </w:r>
      <w:r w:rsidR="00BF7F5A" w:rsidRPr="00BF7F5A">
        <w:rPr>
          <w:rFonts w:ascii="Times New Roman" w:hAnsi="Times New Roman" w:cs="Times New Roman"/>
          <w:sz w:val="24"/>
          <w:szCs w:val="24"/>
        </w:rPr>
        <w:t>This article aims to discuss the senior</w:t>
      </w:r>
      <w:r w:rsidR="00BF7F5A">
        <w:rPr>
          <w:rFonts w:ascii="Times New Roman" w:hAnsi="Times New Roman" w:cs="Times New Roman"/>
          <w:sz w:val="24"/>
          <w:szCs w:val="24"/>
        </w:rPr>
        <w:t xml:space="preserve"> entrepreneurship </w:t>
      </w:r>
      <w:r w:rsidR="00BF7F5A" w:rsidRPr="00BF7F5A">
        <w:rPr>
          <w:rFonts w:ascii="Times New Roman" w:hAnsi="Times New Roman" w:cs="Times New Roman"/>
          <w:sz w:val="24"/>
          <w:szCs w:val="24"/>
        </w:rPr>
        <w:t>as the research</w:t>
      </w:r>
      <w:r w:rsidR="00BF7F5A">
        <w:rPr>
          <w:rFonts w:ascii="Times New Roman" w:hAnsi="Times New Roman" w:cs="Times New Roman"/>
          <w:sz w:val="24"/>
          <w:szCs w:val="24"/>
        </w:rPr>
        <w:t xml:space="preserve"> </w:t>
      </w:r>
      <w:r w:rsidR="00BF7F5A" w:rsidRPr="00BF7F5A">
        <w:rPr>
          <w:rFonts w:ascii="Times New Roman" w:hAnsi="Times New Roman" w:cs="Times New Roman"/>
          <w:sz w:val="24"/>
          <w:szCs w:val="24"/>
        </w:rPr>
        <w:t xml:space="preserve">domain, </w:t>
      </w:r>
      <w:r w:rsidR="00BF7F5A">
        <w:rPr>
          <w:rFonts w:ascii="Times New Roman" w:hAnsi="Times New Roman" w:cs="Times New Roman"/>
          <w:sz w:val="24"/>
          <w:szCs w:val="24"/>
        </w:rPr>
        <w:t xml:space="preserve">as well as to </w:t>
      </w:r>
      <w:r w:rsidR="00BF7F5A" w:rsidRPr="00BF7F5A">
        <w:rPr>
          <w:rFonts w:ascii="Times New Roman" w:hAnsi="Times New Roman" w:cs="Times New Roman"/>
          <w:sz w:val="24"/>
          <w:szCs w:val="24"/>
        </w:rPr>
        <w:t xml:space="preserve">organize the terminology associated with that domain, </w:t>
      </w:r>
      <w:r w:rsidR="00BF7F5A">
        <w:rPr>
          <w:rFonts w:ascii="Times New Roman" w:hAnsi="Times New Roman" w:cs="Times New Roman"/>
          <w:sz w:val="24"/>
          <w:szCs w:val="24"/>
        </w:rPr>
        <w:t xml:space="preserve">and to </w:t>
      </w:r>
      <w:r w:rsidR="00BF7F5A" w:rsidRPr="00BF7F5A">
        <w:rPr>
          <w:rFonts w:ascii="Times New Roman" w:hAnsi="Times New Roman" w:cs="Times New Roman"/>
          <w:sz w:val="24"/>
          <w:szCs w:val="24"/>
        </w:rPr>
        <w:t xml:space="preserve">present the main findings of research conducted in this area. </w:t>
      </w:r>
      <w:r w:rsidR="00BF7F5A">
        <w:rPr>
          <w:rFonts w:ascii="Times New Roman" w:hAnsi="Times New Roman" w:cs="Times New Roman"/>
          <w:sz w:val="24"/>
          <w:szCs w:val="24"/>
        </w:rPr>
        <w:t>S</w:t>
      </w:r>
      <w:r w:rsidR="00BF7F5A" w:rsidRPr="00BF7F5A">
        <w:rPr>
          <w:rFonts w:ascii="Times New Roman" w:hAnsi="Times New Roman" w:cs="Times New Roman"/>
          <w:sz w:val="24"/>
          <w:szCs w:val="24"/>
        </w:rPr>
        <w:t xml:space="preserve">enior </w:t>
      </w:r>
      <w:r w:rsidR="00BF7F5A">
        <w:rPr>
          <w:rFonts w:ascii="Times New Roman" w:hAnsi="Times New Roman" w:cs="Times New Roman"/>
          <w:sz w:val="24"/>
          <w:szCs w:val="24"/>
        </w:rPr>
        <w:t>e</w:t>
      </w:r>
      <w:r w:rsidR="00BF7F5A" w:rsidRPr="00BF7F5A">
        <w:rPr>
          <w:rFonts w:ascii="Times New Roman" w:hAnsi="Times New Roman" w:cs="Times New Roman"/>
          <w:sz w:val="24"/>
          <w:szCs w:val="24"/>
        </w:rPr>
        <w:t xml:space="preserve">ntrepreneurship is becoming one of the most important areas of research in developed countries, especially in the face of population aging in these countries. </w:t>
      </w:r>
      <w:r w:rsidR="00BF7F5A">
        <w:rPr>
          <w:rFonts w:ascii="Times New Roman" w:hAnsi="Times New Roman" w:cs="Times New Roman"/>
          <w:sz w:val="24"/>
          <w:szCs w:val="24"/>
        </w:rPr>
        <w:t>Various r</w:t>
      </w:r>
      <w:r w:rsidR="00BF7F5A" w:rsidRPr="00BF7F5A">
        <w:rPr>
          <w:rFonts w:ascii="Times New Roman" w:hAnsi="Times New Roman" w:cs="Times New Roman"/>
          <w:sz w:val="24"/>
          <w:szCs w:val="24"/>
        </w:rPr>
        <w:t>esearch in the field of senior</w:t>
      </w:r>
      <w:r w:rsidR="00BF7F5A">
        <w:rPr>
          <w:rFonts w:ascii="Times New Roman" w:hAnsi="Times New Roman" w:cs="Times New Roman"/>
          <w:sz w:val="24"/>
          <w:szCs w:val="24"/>
        </w:rPr>
        <w:t xml:space="preserve"> </w:t>
      </w:r>
      <w:r w:rsidR="00BF7F5A" w:rsidRPr="00BF7F5A">
        <w:rPr>
          <w:rFonts w:ascii="Times New Roman" w:hAnsi="Times New Roman" w:cs="Times New Roman"/>
          <w:sz w:val="24"/>
          <w:szCs w:val="24"/>
        </w:rPr>
        <w:t xml:space="preserve">entrepreneurship deal with those aged 50+. </w:t>
      </w:r>
      <w:r w:rsidR="00BF7F5A">
        <w:rPr>
          <w:rFonts w:ascii="Times New Roman" w:hAnsi="Times New Roman" w:cs="Times New Roman"/>
          <w:sz w:val="24"/>
          <w:szCs w:val="24"/>
        </w:rPr>
        <w:t xml:space="preserve">Prior </w:t>
      </w:r>
      <w:r w:rsidR="00BF7F5A" w:rsidRPr="00BF7F5A">
        <w:rPr>
          <w:rFonts w:ascii="Times New Roman" w:hAnsi="Times New Roman" w:cs="Times New Roman"/>
          <w:sz w:val="24"/>
          <w:szCs w:val="24"/>
        </w:rPr>
        <w:t xml:space="preserve">studies have shown that older people </w:t>
      </w:r>
      <w:r w:rsidR="00BF7F5A">
        <w:rPr>
          <w:rFonts w:ascii="Times New Roman" w:hAnsi="Times New Roman" w:cs="Times New Roman"/>
          <w:sz w:val="24"/>
          <w:szCs w:val="24"/>
        </w:rPr>
        <w:t xml:space="preserve">in their third age </w:t>
      </w:r>
      <w:r w:rsidR="00BF7F5A" w:rsidRPr="00BF7F5A">
        <w:rPr>
          <w:rFonts w:ascii="Times New Roman" w:hAnsi="Times New Roman" w:cs="Times New Roman"/>
          <w:sz w:val="24"/>
          <w:szCs w:val="24"/>
        </w:rPr>
        <w:t xml:space="preserve">are less inclined to take up economic activities </w:t>
      </w:r>
      <w:r w:rsidR="00BF7F5A">
        <w:rPr>
          <w:rFonts w:ascii="Times New Roman" w:hAnsi="Times New Roman" w:cs="Times New Roman"/>
          <w:sz w:val="24"/>
          <w:szCs w:val="24"/>
        </w:rPr>
        <w:t xml:space="preserve">and have lower entrepreneurial intentions </w:t>
      </w:r>
      <w:r w:rsidR="00BF7F5A" w:rsidRPr="00BF7F5A">
        <w:rPr>
          <w:rFonts w:ascii="Times New Roman" w:hAnsi="Times New Roman" w:cs="Times New Roman"/>
          <w:sz w:val="24"/>
          <w:szCs w:val="24"/>
        </w:rPr>
        <w:t>than younger people</w:t>
      </w:r>
      <w:r w:rsidR="00BF7F5A">
        <w:rPr>
          <w:rFonts w:ascii="Times New Roman" w:hAnsi="Times New Roman" w:cs="Times New Roman"/>
          <w:sz w:val="24"/>
          <w:szCs w:val="24"/>
        </w:rPr>
        <w:t xml:space="preserve"> in their prime age</w:t>
      </w:r>
      <w:r w:rsidR="00BF7F5A" w:rsidRPr="00BF7F5A">
        <w:rPr>
          <w:rFonts w:ascii="Times New Roman" w:hAnsi="Times New Roman" w:cs="Times New Roman"/>
          <w:sz w:val="24"/>
          <w:szCs w:val="24"/>
        </w:rPr>
        <w:t>.</w:t>
      </w:r>
      <w:r w:rsidR="006C141A">
        <w:rPr>
          <w:rFonts w:ascii="Times New Roman" w:hAnsi="Times New Roman" w:cs="Times New Roman"/>
          <w:sz w:val="24"/>
          <w:szCs w:val="24"/>
        </w:rPr>
        <w:t xml:space="preserve"> </w:t>
      </w:r>
      <w:r w:rsidR="006C141A" w:rsidRPr="006C141A">
        <w:rPr>
          <w:rFonts w:ascii="Times New Roman" w:hAnsi="Times New Roman" w:cs="Times New Roman"/>
          <w:sz w:val="24"/>
          <w:szCs w:val="24"/>
        </w:rPr>
        <w:t xml:space="preserve">The article is </w:t>
      </w:r>
      <w:r w:rsidR="006C141A">
        <w:rPr>
          <w:rFonts w:ascii="Times New Roman" w:hAnsi="Times New Roman" w:cs="Times New Roman"/>
          <w:sz w:val="24"/>
          <w:szCs w:val="24"/>
        </w:rPr>
        <w:t xml:space="preserve">the </w:t>
      </w:r>
      <w:r w:rsidR="006C141A" w:rsidRPr="006C141A">
        <w:rPr>
          <w:rFonts w:ascii="Times New Roman" w:hAnsi="Times New Roman" w:cs="Times New Roman"/>
          <w:sz w:val="24"/>
          <w:szCs w:val="24"/>
        </w:rPr>
        <w:t>very preliminary and synthetic recognition of the analy</w:t>
      </w:r>
      <w:r w:rsidR="006C141A">
        <w:rPr>
          <w:rFonts w:ascii="Times New Roman" w:hAnsi="Times New Roman" w:cs="Times New Roman"/>
          <w:sz w:val="24"/>
          <w:szCs w:val="24"/>
        </w:rPr>
        <w:t>s</w:t>
      </w:r>
      <w:r w:rsidR="006C141A" w:rsidRPr="006C141A">
        <w:rPr>
          <w:rFonts w:ascii="Times New Roman" w:hAnsi="Times New Roman" w:cs="Times New Roman"/>
          <w:sz w:val="24"/>
          <w:szCs w:val="24"/>
        </w:rPr>
        <w:t>ed problem.</w:t>
      </w:r>
      <w:r w:rsidR="006C1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559" w:rsidRPr="00E97559" w:rsidRDefault="00E97559" w:rsidP="00E975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97559">
        <w:rPr>
          <w:rFonts w:ascii="Times New Roman" w:hAnsi="Times New Roman" w:cs="Times New Roman"/>
          <w:b/>
          <w:sz w:val="24"/>
          <w:szCs w:val="24"/>
        </w:rPr>
        <w:t>Keywords</w:t>
      </w:r>
      <w:r w:rsidRPr="00E97559">
        <w:rPr>
          <w:rFonts w:ascii="Times New Roman" w:hAnsi="Times New Roman" w:cs="Times New Roman"/>
          <w:sz w:val="24"/>
          <w:szCs w:val="24"/>
        </w:rPr>
        <w:t xml:space="preserve">: entrepreneurship, senior entrepreneurship, third age entrepreneurship, silver economy, entrepreneurial intentions </w:t>
      </w:r>
    </w:p>
    <w:p w:rsidR="00C90811" w:rsidRDefault="00C90811" w:rsidP="00435A3B">
      <w:pPr>
        <w:spacing w:after="0" w:line="360" w:lineRule="auto"/>
        <w:rPr>
          <w:b/>
          <w:lang w:val="pl-PL"/>
        </w:rPr>
      </w:pPr>
    </w:p>
    <w:p w:rsidR="00CD0206" w:rsidRPr="005B0D02" w:rsidRDefault="00CD0206" w:rsidP="00435A3B">
      <w:pPr>
        <w:spacing w:after="0" w:line="360" w:lineRule="auto"/>
        <w:rPr>
          <w:b/>
          <w:lang w:val="pl-PL"/>
        </w:rPr>
      </w:pPr>
    </w:p>
    <w:p w:rsidR="00326C5A" w:rsidRPr="00CD0206" w:rsidRDefault="00F12E0E" w:rsidP="0010110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CD0206">
        <w:rPr>
          <w:rFonts w:ascii="Times New Roman" w:hAnsi="Times New Roman" w:cs="Times New Roman"/>
          <w:b/>
          <w:sz w:val="26"/>
          <w:szCs w:val="26"/>
          <w:lang w:val="pl-PL"/>
        </w:rPr>
        <w:lastRenderedPageBreak/>
        <w:t>Wstęp</w:t>
      </w:r>
    </w:p>
    <w:p w:rsidR="00EF7306" w:rsidRDefault="00EF7306" w:rsidP="00A37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7306">
        <w:rPr>
          <w:rFonts w:ascii="Times New Roman" w:hAnsi="Times New Roman" w:cs="Times New Roman"/>
          <w:b/>
          <w:sz w:val="24"/>
          <w:szCs w:val="24"/>
          <w:lang w:val="pl-PL"/>
        </w:rPr>
        <w:t>Przedsiębiorczość inkluzywna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Pr="00EF7306">
        <w:rPr>
          <w:rFonts w:ascii="Times New Roman" w:hAnsi="Times New Roman" w:cs="Times New Roman"/>
          <w:i/>
          <w:sz w:val="24"/>
          <w:szCs w:val="24"/>
          <w:lang w:val="pl-PL"/>
        </w:rPr>
        <w:t xml:space="preserve">inclusive </w:t>
      </w:r>
      <w:proofErr w:type="spellStart"/>
      <w:r w:rsidRPr="00EF7306">
        <w:rPr>
          <w:rFonts w:ascii="Times New Roman" w:hAnsi="Times New Roman" w:cs="Times New Roman"/>
          <w:i/>
          <w:sz w:val="24"/>
          <w:szCs w:val="24"/>
          <w:lang w:val="pl-PL"/>
        </w:rPr>
        <w:t>entrepreneurship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) w zasadzie jest nowym pojęciem nie tylko w języku polskim, ale także w teorii przedsiębiorczości</w:t>
      </w:r>
      <w:r w:rsidR="00E1265D">
        <w:rPr>
          <w:rStyle w:val="Odwoanieprzypisudolnego"/>
          <w:rFonts w:ascii="Times New Roman" w:hAnsi="Times New Roman" w:cs="Times New Roman"/>
          <w:sz w:val="24"/>
          <w:szCs w:val="24"/>
          <w:lang w:val="pl-PL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Jako koncepcja włączania </w:t>
      </w:r>
      <w:r w:rsidR="00C032B6">
        <w:rPr>
          <w:rFonts w:ascii="Times New Roman" w:hAnsi="Times New Roman" w:cs="Times New Roman"/>
          <w:sz w:val="24"/>
          <w:szCs w:val="24"/>
          <w:lang w:val="pl-PL"/>
        </w:rPr>
        <w:t xml:space="preserve">grup społecznych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wykluczonych </w:t>
      </w:r>
      <w:r w:rsidR="00C032B6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rynku pracy, a szerzej z gospodarki kapitalistycznej, która umożliwia osobom z tych grup wykorzystywać swoje umiejętności i kompetencje w celu realizacji swoich projektów, niekoniecznie biznesowych, ale głównie chodzi o przedsięwzięcia gospodarcze. W interesujący sposób zagadnienie </w:t>
      </w:r>
      <w:r w:rsidRPr="00EF7306">
        <w:rPr>
          <w:rFonts w:ascii="Times New Roman" w:hAnsi="Times New Roman" w:cs="Times New Roman"/>
          <w:b/>
          <w:sz w:val="24"/>
          <w:szCs w:val="24"/>
          <w:lang w:val="pl-PL"/>
        </w:rPr>
        <w:t>kapitalizmu inkluzywnego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omawia w polskiej literaturze przedmiotu Mączyńska (2014, s. 14), która d</w:t>
      </w:r>
      <w:r w:rsidR="00337187">
        <w:rPr>
          <w:rFonts w:ascii="Times New Roman" w:hAnsi="Times New Roman" w:cs="Times New Roman"/>
          <w:sz w:val="24"/>
          <w:szCs w:val="24"/>
          <w:lang w:val="pl-PL"/>
        </w:rPr>
        <w:t>efiniuje tę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koncepcję jako przeciwieństwo wykluczenia społecznego, które </w:t>
      </w:r>
      <w:r w:rsidRPr="00EF7306">
        <w:rPr>
          <w:rFonts w:ascii="Times New Roman" w:hAnsi="Times New Roman" w:cs="Times New Roman"/>
          <w:i/>
          <w:sz w:val="24"/>
          <w:szCs w:val="24"/>
          <w:lang w:val="pl-PL"/>
        </w:rPr>
        <w:t>nota bene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powinno być niwelowane </w:t>
      </w:r>
      <w:r w:rsidR="008C7B72">
        <w:rPr>
          <w:rFonts w:ascii="Times New Roman" w:hAnsi="Times New Roman" w:cs="Times New Roman"/>
          <w:sz w:val="24"/>
          <w:szCs w:val="24"/>
          <w:lang w:val="pl-PL"/>
        </w:rPr>
        <w:t xml:space="preserve">– przynajmniej teoretycznie – </w:t>
      </w:r>
      <w:r>
        <w:rPr>
          <w:rFonts w:ascii="Times New Roman" w:hAnsi="Times New Roman" w:cs="Times New Roman"/>
          <w:sz w:val="24"/>
          <w:szCs w:val="24"/>
          <w:lang w:val="pl-PL"/>
        </w:rPr>
        <w:t>zgodnie z konstytucyjną zasadą społecznej</w:t>
      </w:r>
      <w:r w:rsidR="0091458A">
        <w:rPr>
          <w:rFonts w:ascii="Times New Roman" w:hAnsi="Times New Roman" w:cs="Times New Roman"/>
          <w:sz w:val="24"/>
          <w:szCs w:val="24"/>
          <w:lang w:val="pl-PL"/>
        </w:rPr>
        <w:t xml:space="preserve"> rynkowej gospodarki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która </w:t>
      </w:r>
      <w:r w:rsidR="0031183A">
        <w:rPr>
          <w:rFonts w:ascii="Times New Roman" w:hAnsi="Times New Roman" w:cs="Times New Roman"/>
          <w:sz w:val="24"/>
          <w:szCs w:val="24"/>
          <w:lang w:val="pl-PL"/>
        </w:rPr>
        <w:t xml:space="preserve">jako ustrój społeczno-gospodarczy została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między innymi </w:t>
      </w:r>
      <w:r w:rsidR="0031183A">
        <w:rPr>
          <w:rFonts w:ascii="Times New Roman" w:hAnsi="Times New Roman" w:cs="Times New Roman"/>
          <w:sz w:val="24"/>
          <w:szCs w:val="24"/>
          <w:lang w:val="pl-PL"/>
        </w:rPr>
        <w:t xml:space="preserve">przyjęta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Polsce. </w:t>
      </w:r>
    </w:p>
    <w:p w:rsidR="007873F1" w:rsidRDefault="007873F1" w:rsidP="00A37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Pojęcie przedsiębiorczości inkluzywnej nawiązuje w swojej semiotyce do socjologicznej koncepcji grup inkluzywnych, czy inkluzywności, ale także to ekonomicznej koncepcji inkluzji społecznej, będącej ekonomiczną odpowiedzią na wykluczenie społeczne. Przedsiębiorczość inkluzywna to zapewnianie różnym grupom społeczny</w:t>
      </w:r>
      <w:r w:rsidR="009A0EAA">
        <w:rPr>
          <w:rFonts w:ascii="Times New Roman" w:hAnsi="Times New Roman" w:cs="Times New Roman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równych szans w realizacji ich aspiracji i marzeń, przedsięwzięć gospodarczych i biznesowych, innymi słowy to wyrównywanie szans względem okazji przedsiębiorczych, aby okazje te były dla każdego, tak jak to ma miejsce w Stanach Zjednoczonych, gdzie kariera od przysłowiowego pucybuta do milionera, jest realna, w przeciwieństw</w:t>
      </w:r>
      <w:r w:rsidR="00C41846">
        <w:rPr>
          <w:rFonts w:ascii="Times New Roman" w:hAnsi="Times New Roman" w:cs="Times New Roman"/>
          <w:sz w:val="24"/>
          <w:szCs w:val="24"/>
          <w:lang w:val="pl-PL"/>
        </w:rPr>
        <w:t>ie do warunków europejskich. Pr</w:t>
      </w: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C41846">
        <w:rPr>
          <w:rFonts w:ascii="Times New Roman" w:hAnsi="Times New Roman" w:cs="Times New Roman"/>
          <w:sz w:val="24"/>
          <w:szCs w:val="24"/>
          <w:lang w:val="pl-PL"/>
        </w:rPr>
        <w:t>e</w:t>
      </w:r>
      <w:r>
        <w:rPr>
          <w:rFonts w:ascii="Times New Roman" w:hAnsi="Times New Roman" w:cs="Times New Roman"/>
          <w:sz w:val="24"/>
          <w:szCs w:val="24"/>
          <w:lang w:val="pl-PL"/>
        </w:rPr>
        <w:t>dsiębiorczość inkluzy</w:t>
      </w:r>
      <w:r w:rsidR="0028039D">
        <w:rPr>
          <w:rFonts w:ascii="Times New Roman" w:hAnsi="Times New Roman" w:cs="Times New Roman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to przede wszystkim podkreślanie barier, na jakie mogą napotkać potencjalni przedsiębiorcy </w:t>
      </w:r>
      <w:r w:rsidR="000A287C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0A287C" w:rsidRPr="000A287C">
        <w:rPr>
          <w:rFonts w:ascii="Times New Roman" w:hAnsi="Times New Roman" w:cs="Times New Roman"/>
          <w:i/>
          <w:sz w:val="24"/>
          <w:szCs w:val="24"/>
          <w:lang w:val="pl-PL"/>
        </w:rPr>
        <w:t>potential</w:t>
      </w:r>
      <w:proofErr w:type="spellEnd"/>
      <w:r w:rsidR="000A287C" w:rsidRPr="000A287C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0A287C" w:rsidRPr="000A287C">
        <w:rPr>
          <w:rFonts w:ascii="Times New Roman" w:hAnsi="Times New Roman" w:cs="Times New Roman"/>
          <w:i/>
          <w:sz w:val="24"/>
          <w:szCs w:val="24"/>
          <w:lang w:val="pl-PL"/>
        </w:rPr>
        <w:t>entrepreneurs</w:t>
      </w:r>
      <w:proofErr w:type="spellEnd"/>
      <w:r w:rsidR="000A287C">
        <w:rPr>
          <w:rFonts w:ascii="Times New Roman" w:hAnsi="Times New Roman" w:cs="Times New Roman"/>
          <w:sz w:val="24"/>
          <w:szCs w:val="24"/>
          <w:lang w:val="pl-PL"/>
        </w:rPr>
        <w:t xml:space="preserve">) oraz </w:t>
      </w:r>
      <w:r>
        <w:rPr>
          <w:rFonts w:ascii="Times New Roman" w:hAnsi="Times New Roman" w:cs="Times New Roman"/>
          <w:sz w:val="24"/>
          <w:szCs w:val="24"/>
          <w:lang w:val="pl-PL"/>
        </w:rPr>
        <w:t>preprzedsiębiorcy</w:t>
      </w:r>
      <w:r w:rsidR="000A287C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0A287C" w:rsidRPr="000A287C">
        <w:rPr>
          <w:rFonts w:ascii="Times New Roman" w:hAnsi="Times New Roman" w:cs="Times New Roman"/>
          <w:i/>
          <w:sz w:val="24"/>
          <w:szCs w:val="24"/>
          <w:lang w:val="pl-PL"/>
        </w:rPr>
        <w:t>nascent</w:t>
      </w:r>
      <w:proofErr w:type="spellEnd"/>
      <w:r w:rsidR="000A287C" w:rsidRPr="000A287C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0A287C" w:rsidRPr="000A287C">
        <w:rPr>
          <w:rFonts w:ascii="Times New Roman" w:hAnsi="Times New Roman" w:cs="Times New Roman"/>
          <w:i/>
          <w:sz w:val="24"/>
          <w:szCs w:val="24"/>
          <w:lang w:val="pl-PL"/>
        </w:rPr>
        <w:t>entrepreneurs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70B73">
        <w:rPr>
          <w:rFonts w:ascii="Times New Roman" w:hAnsi="Times New Roman" w:cs="Times New Roman"/>
          <w:sz w:val="24"/>
          <w:szCs w:val="24"/>
          <w:lang w:val="pl-PL"/>
        </w:rPr>
        <w:t xml:space="preserve"> pochodzący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tych grup społecznych, które są niedoreprezentowane w statystykach w zakresie prywatnej przedsiębiorczości</w:t>
      </w:r>
      <w:r w:rsidR="00BB73F2">
        <w:rPr>
          <w:rStyle w:val="Odwoanieprzypisudolnego"/>
          <w:rFonts w:ascii="Times New Roman" w:hAnsi="Times New Roman" w:cs="Times New Roman"/>
          <w:sz w:val="24"/>
          <w:szCs w:val="24"/>
          <w:lang w:val="pl-PL"/>
        </w:rPr>
        <w:footnoteReference w:id="3"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:rsidR="00CC4A9B" w:rsidRDefault="007873F1" w:rsidP="00A37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Obecnie w obrębie przedsiębiorczości inkluzywnej prowadzone są dyskursy naukowe i podejmowane są badania </w:t>
      </w:r>
      <w:r w:rsidR="00C032B6">
        <w:rPr>
          <w:rFonts w:ascii="Times New Roman" w:hAnsi="Times New Roman" w:cs="Times New Roman"/>
          <w:sz w:val="24"/>
          <w:szCs w:val="24"/>
          <w:lang w:val="pl-PL"/>
        </w:rPr>
        <w:t>empiryczne</w:t>
      </w:r>
      <w:r>
        <w:rPr>
          <w:rFonts w:ascii="Times New Roman" w:hAnsi="Times New Roman" w:cs="Times New Roman"/>
          <w:sz w:val="24"/>
          <w:szCs w:val="24"/>
          <w:lang w:val="pl-PL"/>
        </w:rPr>
        <w:t>, zwłaszcza w krajach zachodnich, ale także w Polsce</w:t>
      </w:r>
      <w:r w:rsidR="00C032B6">
        <w:rPr>
          <w:rFonts w:ascii="Times New Roman" w:hAnsi="Times New Roman" w:cs="Times New Roman"/>
          <w:sz w:val="24"/>
          <w:szCs w:val="24"/>
          <w:lang w:val="pl-PL"/>
        </w:rPr>
        <w:t xml:space="preserve">, w takich obszarach </w:t>
      </w:r>
      <w:r w:rsidR="008D40F1">
        <w:rPr>
          <w:rFonts w:ascii="Times New Roman" w:hAnsi="Times New Roman" w:cs="Times New Roman"/>
          <w:sz w:val="24"/>
          <w:szCs w:val="24"/>
          <w:lang w:val="pl-PL"/>
        </w:rPr>
        <w:t xml:space="preserve"> –  łączących przedsiębiorczość z partykularnymi </w:t>
      </w:r>
      <w:r w:rsidR="00C032B6">
        <w:rPr>
          <w:rFonts w:ascii="Times New Roman" w:hAnsi="Times New Roman" w:cs="Times New Roman"/>
          <w:sz w:val="24"/>
          <w:szCs w:val="24"/>
          <w:lang w:val="pl-PL"/>
        </w:rPr>
        <w:t>grup</w:t>
      </w:r>
      <w:r w:rsidR="008D40F1">
        <w:rPr>
          <w:rFonts w:ascii="Times New Roman" w:hAnsi="Times New Roman" w:cs="Times New Roman"/>
          <w:sz w:val="24"/>
          <w:szCs w:val="24"/>
          <w:lang w:val="pl-PL"/>
        </w:rPr>
        <w:t>ami</w:t>
      </w:r>
      <w:r w:rsidR="00C032B6">
        <w:rPr>
          <w:rFonts w:ascii="Times New Roman" w:hAnsi="Times New Roman" w:cs="Times New Roman"/>
          <w:sz w:val="24"/>
          <w:szCs w:val="24"/>
          <w:lang w:val="pl-PL"/>
        </w:rPr>
        <w:t xml:space="preserve"> społeczny</w:t>
      </w:r>
      <w:r w:rsidR="008D40F1">
        <w:rPr>
          <w:rFonts w:ascii="Times New Roman" w:hAnsi="Times New Roman" w:cs="Times New Roman"/>
          <w:sz w:val="24"/>
          <w:szCs w:val="24"/>
          <w:lang w:val="pl-PL"/>
        </w:rPr>
        <w:t>mi –</w:t>
      </w:r>
      <w:r w:rsidR="00C032B6">
        <w:rPr>
          <w:rFonts w:ascii="Times New Roman" w:hAnsi="Times New Roman" w:cs="Times New Roman"/>
          <w:sz w:val="24"/>
          <w:szCs w:val="24"/>
          <w:lang w:val="pl-PL"/>
        </w:rPr>
        <w:t xml:space="preserve"> jak</w:t>
      </w:r>
      <w:r w:rsidR="00CC4A9B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CC4A9B" w:rsidRDefault="00C032B6" w:rsidP="00CC4A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4A9B">
        <w:rPr>
          <w:rFonts w:ascii="Times New Roman" w:hAnsi="Times New Roman" w:cs="Times New Roman"/>
          <w:b/>
          <w:sz w:val="24"/>
          <w:szCs w:val="24"/>
          <w:lang w:val="pl-PL"/>
        </w:rPr>
        <w:t>przedsiębiorczość seniorów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, którzy w </w:t>
      </w:r>
      <w:r w:rsidR="00BE4EA1"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percepcji 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>społeczn</w:t>
      </w:r>
      <w:r w:rsidR="00BE4EA1" w:rsidRPr="00CC4A9B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 są mniej aktywni, </w:t>
      </w:r>
      <w:r w:rsidR="00E8335F">
        <w:rPr>
          <w:rFonts w:ascii="Times New Roman" w:hAnsi="Times New Roman" w:cs="Times New Roman"/>
          <w:sz w:val="24"/>
          <w:szCs w:val="24"/>
          <w:lang w:val="pl-PL"/>
        </w:rPr>
        <w:t xml:space="preserve">ale mają także większe trudności na rynku pracy, niż osoby młodsze, </w:t>
      </w:r>
    </w:p>
    <w:p w:rsidR="00CC4A9B" w:rsidRDefault="00C032B6" w:rsidP="008164B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4A9B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przedsiębiorczość kobiet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>, które w przeciwieństwie do mężczyzn z reguły są mniej nastawione na konkurencję</w:t>
      </w:r>
      <w:r w:rsidR="00C228FA">
        <w:rPr>
          <w:rFonts w:ascii="Times New Roman" w:hAnsi="Times New Roman" w:cs="Times New Roman"/>
          <w:sz w:val="24"/>
          <w:szCs w:val="24"/>
          <w:lang w:val="pl-PL"/>
        </w:rPr>
        <w:t xml:space="preserve"> (w tym tą biznesową)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>, a bardziej na rodzinę</w:t>
      </w:r>
      <w:r w:rsidR="008164B0">
        <w:rPr>
          <w:rFonts w:ascii="Times New Roman" w:hAnsi="Times New Roman" w:cs="Times New Roman"/>
          <w:sz w:val="24"/>
          <w:szCs w:val="24"/>
          <w:lang w:val="pl-PL"/>
        </w:rPr>
        <w:t xml:space="preserve"> (zob. m.in. </w:t>
      </w:r>
      <w:proofErr w:type="spellStart"/>
      <w:r w:rsidR="005564AC">
        <w:rPr>
          <w:rFonts w:ascii="Times New Roman" w:hAnsi="Times New Roman" w:cs="Times New Roman"/>
          <w:sz w:val="24"/>
          <w:szCs w:val="24"/>
          <w:lang w:val="pl-PL"/>
        </w:rPr>
        <w:t>Jennings</w:t>
      </w:r>
      <w:proofErr w:type="spellEnd"/>
      <w:r w:rsidR="005564AC">
        <w:rPr>
          <w:rFonts w:ascii="Times New Roman" w:hAnsi="Times New Roman" w:cs="Times New Roman"/>
          <w:sz w:val="24"/>
          <w:szCs w:val="24"/>
          <w:lang w:val="pl-PL"/>
        </w:rPr>
        <w:t xml:space="preserve"> &amp;</w:t>
      </w:r>
      <w:r w:rsidR="008164B0" w:rsidRPr="008164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8164B0" w:rsidRPr="008164B0">
        <w:rPr>
          <w:rFonts w:ascii="Times New Roman" w:hAnsi="Times New Roman" w:cs="Times New Roman"/>
          <w:sz w:val="24"/>
          <w:szCs w:val="24"/>
          <w:lang w:val="pl-PL"/>
        </w:rPr>
        <w:t>Brush</w:t>
      </w:r>
      <w:proofErr w:type="spellEnd"/>
      <w:r w:rsidR="008164B0" w:rsidRPr="008164B0">
        <w:rPr>
          <w:rFonts w:ascii="Times New Roman" w:hAnsi="Times New Roman" w:cs="Times New Roman"/>
          <w:sz w:val="24"/>
          <w:szCs w:val="24"/>
          <w:lang w:val="pl-PL"/>
        </w:rPr>
        <w:t>, 2013</w:t>
      </w:r>
      <w:r w:rsidR="008164B0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CC4A9B" w:rsidRDefault="00C032B6" w:rsidP="00041F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4A9B">
        <w:rPr>
          <w:rFonts w:ascii="Times New Roman" w:hAnsi="Times New Roman" w:cs="Times New Roman"/>
          <w:b/>
          <w:sz w:val="24"/>
          <w:szCs w:val="24"/>
          <w:lang w:val="pl-PL"/>
        </w:rPr>
        <w:t>przedsiębiorczość młodych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>, którzy w wielu gospodarkach są najliczniejszą grupą  pozostającą bez pracy</w:t>
      </w:r>
      <w:r w:rsidR="00041F8D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CA3AA9">
        <w:rPr>
          <w:rFonts w:ascii="Times New Roman" w:hAnsi="Times New Roman" w:cs="Times New Roman"/>
          <w:sz w:val="24"/>
          <w:szCs w:val="24"/>
          <w:lang w:val="pl-PL"/>
        </w:rPr>
        <w:t xml:space="preserve">zob. m.in. </w:t>
      </w:r>
      <w:proofErr w:type="spellStart"/>
      <w:r w:rsidR="00041F8D" w:rsidRPr="00041F8D">
        <w:rPr>
          <w:rFonts w:ascii="Times New Roman" w:hAnsi="Times New Roman" w:cs="Times New Roman"/>
          <w:sz w:val="24"/>
          <w:szCs w:val="24"/>
          <w:lang w:val="pl-PL"/>
        </w:rPr>
        <w:t>Geldhof</w:t>
      </w:r>
      <w:proofErr w:type="spellEnd"/>
      <w:r w:rsidR="00041F8D">
        <w:rPr>
          <w:rFonts w:ascii="Times New Roman" w:hAnsi="Times New Roman" w:cs="Times New Roman"/>
          <w:sz w:val="24"/>
          <w:szCs w:val="24"/>
          <w:lang w:val="pl-PL"/>
        </w:rPr>
        <w:t xml:space="preserve"> et al.</w:t>
      </w:r>
      <w:r w:rsidR="00041F8D" w:rsidRPr="00041F8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041F8D">
        <w:rPr>
          <w:rFonts w:ascii="Times New Roman" w:hAnsi="Times New Roman" w:cs="Times New Roman"/>
          <w:sz w:val="24"/>
          <w:szCs w:val="24"/>
          <w:lang w:val="pl-PL"/>
        </w:rPr>
        <w:t xml:space="preserve"> 2014)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CC4A9B" w:rsidRDefault="00C032B6" w:rsidP="00CC4A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4A9B">
        <w:rPr>
          <w:rFonts w:ascii="Times New Roman" w:hAnsi="Times New Roman" w:cs="Times New Roman"/>
          <w:b/>
          <w:sz w:val="24"/>
          <w:szCs w:val="24"/>
          <w:lang w:val="pl-PL"/>
        </w:rPr>
        <w:t>przedsiębiorczość imigrantów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>, którzy z reguły mają problem z asymilacją do uwarunkowań lokalnego rynku pracy</w:t>
      </w:r>
      <w:r w:rsidR="00C71C3F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CA3AA9">
        <w:rPr>
          <w:rFonts w:ascii="Times New Roman" w:hAnsi="Times New Roman" w:cs="Times New Roman"/>
          <w:sz w:val="24"/>
          <w:szCs w:val="24"/>
          <w:lang w:val="pl-PL"/>
        </w:rPr>
        <w:t xml:space="preserve">zob. m.in. </w:t>
      </w:r>
      <w:r w:rsidR="00C71C3F">
        <w:rPr>
          <w:rFonts w:ascii="Times New Roman" w:hAnsi="Times New Roman" w:cs="Times New Roman"/>
          <w:sz w:val="24"/>
          <w:szCs w:val="24"/>
          <w:lang w:val="pl-PL"/>
        </w:rPr>
        <w:t>Glinka</w:t>
      </w:r>
      <w:r w:rsidR="005564AC">
        <w:rPr>
          <w:rFonts w:ascii="Times New Roman" w:hAnsi="Times New Roman" w:cs="Times New Roman"/>
          <w:sz w:val="24"/>
          <w:szCs w:val="24"/>
          <w:lang w:val="pl-PL"/>
        </w:rPr>
        <w:t xml:space="preserve"> &amp;</w:t>
      </w:r>
      <w:r w:rsidR="00C71C3F">
        <w:rPr>
          <w:rFonts w:ascii="Times New Roman" w:hAnsi="Times New Roman" w:cs="Times New Roman"/>
          <w:sz w:val="24"/>
          <w:szCs w:val="24"/>
          <w:lang w:val="pl-PL"/>
        </w:rPr>
        <w:t xml:space="preserve"> Brzozowska, 2015)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CC4A9B" w:rsidRDefault="00C032B6" w:rsidP="00AF0E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4A9B">
        <w:rPr>
          <w:rFonts w:ascii="Times New Roman" w:hAnsi="Times New Roman" w:cs="Times New Roman"/>
          <w:b/>
          <w:sz w:val="24"/>
          <w:szCs w:val="24"/>
          <w:lang w:val="pl-PL"/>
        </w:rPr>
        <w:t>przedsiębiorczość grup etnicznych i mniejszości narodowych</w:t>
      </w:r>
      <w:r w:rsidR="007873F1"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>(np. przedsiębiorczość Romów), którym trudniej jest podejmować działania przedsiębiorcze</w:t>
      </w:r>
      <w:r w:rsidR="00AF0E39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464FCD">
        <w:rPr>
          <w:rFonts w:ascii="Times New Roman" w:hAnsi="Times New Roman" w:cs="Times New Roman"/>
          <w:sz w:val="24"/>
          <w:szCs w:val="24"/>
          <w:lang w:val="pl-PL"/>
        </w:rPr>
        <w:t xml:space="preserve">zob. m.in. </w:t>
      </w:r>
      <w:proofErr w:type="spellStart"/>
      <w:r w:rsidR="00AF0E39" w:rsidRPr="00AF0E39">
        <w:rPr>
          <w:rFonts w:ascii="Times New Roman" w:hAnsi="Times New Roman" w:cs="Times New Roman"/>
          <w:sz w:val="24"/>
          <w:szCs w:val="24"/>
          <w:lang w:val="pl-PL"/>
        </w:rPr>
        <w:t>Chaganti</w:t>
      </w:r>
      <w:proofErr w:type="spellEnd"/>
      <w:r w:rsidR="00AF0E39" w:rsidRPr="00AF0E39">
        <w:rPr>
          <w:rFonts w:ascii="Times New Roman" w:hAnsi="Times New Roman" w:cs="Times New Roman"/>
          <w:sz w:val="24"/>
          <w:szCs w:val="24"/>
          <w:lang w:val="pl-PL"/>
        </w:rPr>
        <w:t xml:space="preserve"> &amp; </w:t>
      </w:r>
      <w:proofErr w:type="spellStart"/>
      <w:r w:rsidR="00AF0E39" w:rsidRPr="00AF0E39">
        <w:rPr>
          <w:rFonts w:ascii="Times New Roman" w:hAnsi="Times New Roman" w:cs="Times New Roman"/>
          <w:sz w:val="24"/>
          <w:szCs w:val="24"/>
          <w:lang w:val="pl-PL"/>
        </w:rPr>
        <w:t>Greene</w:t>
      </w:r>
      <w:proofErr w:type="spellEnd"/>
      <w:r w:rsidR="00AF0E39" w:rsidRPr="00AF0E39">
        <w:rPr>
          <w:rFonts w:ascii="Times New Roman" w:hAnsi="Times New Roman" w:cs="Times New Roman"/>
          <w:sz w:val="24"/>
          <w:szCs w:val="24"/>
          <w:lang w:val="pl-PL"/>
        </w:rPr>
        <w:t>, 2002</w:t>
      </w:r>
      <w:r w:rsidR="00AF0E39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CC4A9B" w:rsidRDefault="00C032B6" w:rsidP="002A42E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4A9B">
        <w:rPr>
          <w:rFonts w:ascii="Times New Roman" w:hAnsi="Times New Roman" w:cs="Times New Roman"/>
          <w:b/>
          <w:sz w:val="24"/>
          <w:szCs w:val="24"/>
          <w:lang w:val="pl-PL"/>
        </w:rPr>
        <w:t>przedsiębiorczość bezrobotnych</w:t>
      </w:r>
      <w:r w:rsidR="00CC4A9B">
        <w:rPr>
          <w:rFonts w:ascii="Times New Roman" w:hAnsi="Times New Roman" w:cs="Times New Roman"/>
          <w:sz w:val="24"/>
          <w:szCs w:val="24"/>
          <w:lang w:val="pl-PL"/>
        </w:rPr>
        <w:t xml:space="preserve">, gdyż samozatrudnienie – jako </w:t>
      </w:r>
      <w:r w:rsidR="00F173AF">
        <w:rPr>
          <w:rFonts w:ascii="Times New Roman" w:hAnsi="Times New Roman" w:cs="Times New Roman"/>
          <w:sz w:val="24"/>
          <w:szCs w:val="24"/>
          <w:lang w:val="pl-PL"/>
        </w:rPr>
        <w:t xml:space="preserve">elementarny </w:t>
      </w:r>
      <w:r w:rsidR="00CC4A9B">
        <w:rPr>
          <w:rFonts w:ascii="Times New Roman" w:hAnsi="Times New Roman" w:cs="Times New Roman"/>
          <w:sz w:val="24"/>
          <w:szCs w:val="24"/>
          <w:lang w:val="pl-PL"/>
        </w:rPr>
        <w:t xml:space="preserve"> przejaw przedsiębiorczości – jest podstawową metodą aktywnego przeciwdziałania negatywnym skutkom występującym na rynku pracy</w:t>
      </w:r>
      <w:r w:rsidR="002A42E3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04268F">
        <w:rPr>
          <w:rFonts w:ascii="Times New Roman" w:hAnsi="Times New Roman" w:cs="Times New Roman"/>
          <w:sz w:val="24"/>
          <w:szCs w:val="24"/>
          <w:lang w:val="pl-PL"/>
        </w:rPr>
        <w:t xml:space="preserve">zob. </w:t>
      </w:r>
      <w:r w:rsidR="00AB395F">
        <w:rPr>
          <w:rFonts w:ascii="Times New Roman" w:hAnsi="Times New Roman" w:cs="Times New Roman"/>
          <w:sz w:val="24"/>
          <w:szCs w:val="24"/>
          <w:lang w:val="pl-PL"/>
        </w:rPr>
        <w:t xml:space="preserve">m.in. </w:t>
      </w:r>
      <w:proofErr w:type="spellStart"/>
      <w:r w:rsidR="002A42E3">
        <w:rPr>
          <w:rFonts w:ascii="Times New Roman" w:hAnsi="Times New Roman" w:cs="Times New Roman"/>
          <w:sz w:val="24"/>
          <w:szCs w:val="24"/>
          <w:lang w:val="pl-PL"/>
        </w:rPr>
        <w:t>Thurik</w:t>
      </w:r>
      <w:proofErr w:type="spellEnd"/>
      <w:r w:rsidR="002A42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A42E3" w:rsidRPr="002A42E3">
        <w:rPr>
          <w:rFonts w:ascii="Times New Roman" w:hAnsi="Times New Roman" w:cs="Times New Roman"/>
          <w:i/>
          <w:sz w:val="24"/>
          <w:szCs w:val="24"/>
          <w:lang w:val="pl-PL"/>
        </w:rPr>
        <w:t>et al</w:t>
      </w:r>
      <w:r w:rsidR="002A42E3">
        <w:rPr>
          <w:rFonts w:ascii="Times New Roman" w:hAnsi="Times New Roman" w:cs="Times New Roman"/>
          <w:sz w:val="24"/>
          <w:szCs w:val="24"/>
          <w:lang w:val="pl-PL"/>
        </w:rPr>
        <w:t>., 2008)</w:t>
      </w:r>
      <w:r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7873F1" w:rsidRPr="00CC4A9B" w:rsidRDefault="008B38C8" w:rsidP="00CC4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4A9B">
        <w:rPr>
          <w:rFonts w:ascii="Times New Roman" w:hAnsi="Times New Roman" w:cs="Times New Roman"/>
          <w:sz w:val="24"/>
          <w:szCs w:val="24"/>
          <w:lang w:val="pl-PL"/>
        </w:rPr>
        <w:t xml:space="preserve">Oczywiście ta swoistego rodzaju lista enumeratywna nie jest kompletna, są to jedynie najważniejsze obszary, w których prowadzone są obecnie badania w obrębie przedsiębiorczości, czy uściślając w obrębie przedsiębiorczości inkluzywnej. </w:t>
      </w:r>
    </w:p>
    <w:p w:rsidR="00045436" w:rsidRDefault="00045436" w:rsidP="00A37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Celem artykułu jest omówienie przedsiębiorczości seniorów jako domeny badawczej, uporządkowanie terminologiczne związane z tą domeną, a także ukazanie głównych </w:t>
      </w:r>
      <w:r w:rsidR="002A41B5">
        <w:rPr>
          <w:rFonts w:ascii="Times New Roman" w:hAnsi="Times New Roman" w:cs="Times New Roman"/>
          <w:sz w:val="24"/>
          <w:szCs w:val="24"/>
          <w:lang w:val="pl-PL"/>
        </w:rPr>
        <w:t xml:space="preserve">wyników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badan prowadzonych w tym zakresie. </w:t>
      </w:r>
      <w:r w:rsidR="00CD0206" w:rsidRPr="00CD0206">
        <w:rPr>
          <w:rFonts w:ascii="Times New Roman" w:hAnsi="Times New Roman" w:cs="Times New Roman"/>
          <w:sz w:val="24"/>
          <w:szCs w:val="24"/>
          <w:lang w:val="pl-PL"/>
        </w:rPr>
        <w:t>Artykuł jest bardzo wstępnym i syntetycznym ujęciem analizowanego problemu</w:t>
      </w:r>
      <w:r w:rsidR="00CD0206">
        <w:rPr>
          <w:rFonts w:ascii="Times New Roman" w:hAnsi="Times New Roman" w:cs="Times New Roman"/>
          <w:sz w:val="24"/>
          <w:szCs w:val="24"/>
          <w:lang w:val="pl-PL"/>
        </w:rPr>
        <w:t>, a jego zadaniem jest zasygnalizowanie tego istotnego problemu badawczego</w:t>
      </w:r>
      <w:r w:rsidR="00CD0206" w:rsidRPr="00CD020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E07BB" w:rsidRDefault="005E07BB" w:rsidP="00A37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A251F" w:rsidRDefault="008A251F" w:rsidP="00A37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1265D" w:rsidRPr="007F4C25" w:rsidRDefault="00E1265D" w:rsidP="00E1265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7F4C25">
        <w:rPr>
          <w:rFonts w:ascii="Times New Roman" w:hAnsi="Times New Roman" w:cs="Times New Roman"/>
          <w:b/>
          <w:sz w:val="26"/>
          <w:szCs w:val="26"/>
          <w:lang w:val="pl-PL"/>
        </w:rPr>
        <w:t>Przedsiębiorczość seniorów w świetle literatury przedmiotu</w:t>
      </w:r>
    </w:p>
    <w:p w:rsidR="00952313" w:rsidRDefault="00952313" w:rsidP="009523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Człowiek, będąc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kluczowy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czynnikiem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przedsiębiorczości i działalności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przedsiębiorczej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ogóle, może być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różnie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analizowan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y, w zależności od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uwzględnieni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 w analizach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różnych aspekt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ów c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zynnik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ludzki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ego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Jednym z wymiarów analitycznych przedsiębiorcy jest jego demografi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a,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tym wiek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przedsiębiorcy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Od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dekady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zarówno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decydenci polityczni, jak i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naukowcy stara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ją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się zbadać i wyjaśnić powiązania między wiekiem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działalności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ą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przedsiębiorczą </w:t>
      </w:r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</w:t>
      </w:r>
      <w:proofErr w:type="spellStart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Lévesque</w:t>
      </w:r>
      <w:proofErr w:type="spellEnd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&amp; </w:t>
      </w:r>
      <w:proofErr w:type="spellStart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Minniti</w:t>
      </w:r>
      <w:proofErr w:type="spellEnd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2011; Kautonen,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Down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South</w:t>
      </w:r>
      <w:proofErr w:type="spellEnd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2008; Kautonen, </w:t>
      </w:r>
      <w:proofErr w:type="spellStart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Tornikoski</w:t>
      </w:r>
      <w:proofErr w:type="spellEnd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&amp; </w:t>
      </w:r>
      <w:proofErr w:type="spellStart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Kibler</w:t>
      </w:r>
      <w:proofErr w:type="spellEnd"/>
      <w:r w:rsidR="00A3729B"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2011).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A3729B">
        <w:rPr>
          <w:rFonts w:ascii="Times New Roman" w:hAnsi="Times New Roman" w:cs="Times New Roman"/>
          <w:sz w:val="24"/>
          <w:szCs w:val="24"/>
          <w:lang w:val="pl-PL"/>
        </w:rPr>
        <w:t xml:space="preserve">Baron i </w:t>
      </w:r>
      <w:proofErr w:type="spellStart"/>
      <w:r w:rsidRPr="00A3729B">
        <w:rPr>
          <w:rFonts w:ascii="Times New Roman" w:hAnsi="Times New Roman" w:cs="Times New Roman"/>
          <w:sz w:val="24"/>
          <w:szCs w:val="24"/>
          <w:lang w:val="pl-PL"/>
        </w:rPr>
        <w:t>Ensley</w:t>
      </w:r>
      <w:proofErr w:type="spellEnd"/>
      <w:r w:rsidRPr="00A3729B">
        <w:rPr>
          <w:rFonts w:ascii="Times New Roman" w:hAnsi="Times New Roman" w:cs="Times New Roman"/>
          <w:sz w:val="24"/>
          <w:szCs w:val="24"/>
          <w:lang w:val="pl-PL"/>
        </w:rPr>
        <w:t xml:space="preserve"> (2006)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wykazali różnicę w podejściu do </w:t>
      </w:r>
      <w:r w:rsidRPr="00A3729B">
        <w:rPr>
          <w:rFonts w:ascii="Times New Roman" w:hAnsi="Times New Roman" w:cs="Times New Roman"/>
          <w:sz w:val="24"/>
          <w:szCs w:val="24"/>
          <w:lang w:val="pl-PL"/>
        </w:rPr>
        <w:t xml:space="preserve">rozpoznawania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okazji rynkowych przez </w:t>
      </w:r>
      <w:r w:rsidRPr="00A3729B">
        <w:rPr>
          <w:rFonts w:ascii="Times New Roman" w:hAnsi="Times New Roman" w:cs="Times New Roman"/>
          <w:sz w:val="24"/>
          <w:szCs w:val="24"/>
          <w:lang w:val="pl-PL"/>
        </w:rPr>
        <w:t>początkujących, jak i doświadczonych przedsiębiorców</w:t>
      </w:r>
      <w:r w:rsidR="0024545A">
        <w:rPr>
          <w:rFonts w:ascii="Times New Roman" w:hAnsi="Times New Roman" w:cs="Times New Roman"/>
          <w:sz w:val="24"/>
          <w:szCs w:val="24"/>
          <w:lang w:val="pl-PL"/>
        </w:rPr>
        <w:t>, gdzie wiek odgrywa pewną rolę</w:t>
      </w:r>
      <w:r w:rsidRPr="00A3729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4D7F15" w:rsidRDefault="001B5E34" w:rsidP="004D7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Przedsiębiorczość seniorów staje się jednym z ważniejszych obszarów badań w krajach rozwiniętych, zwłaszcza w obliczu starzenia się społeczeństw tych krajów. W krajach Unii Europejskiej odsetek osób powyżej 65 roku życia stale rośnie (Kurek &amp; Rachwał, 2011), co wymaga zastosowania nowego modelu nie tylko społeczeństwa, ale także gospodarki</w:t>
      </w:r>
      <w:r w:rsidR="00E30330">
        <w:rPr>
          <w:rFonts w:ascii="Times New Roman" w:hAnsi="Times New Roman" w:cs="Times New Roman"/>
          <w:sz w:val="24"/>
          <w:szCs w:val="24"/>
          <w:lang w:val="pl-PL"/>
        </w:rPr>
        <w:t>, która coraz częściej określana jest mianem srebrnej gospodarki (</w:t>
      </w:r>
      <w:proofErr w:type="spellStart"/>
      <w:r w:rsidR="00E30330" w:rsidRPr="00E30330">
        <w:rPr>
          <w:rFonts w:ascii="Times New Roman" w:hAnsi="Times New Roman" w:cs="Times New Roman"/>
          <w:i/>
          <w:sz w:val="24"/>
          <w:szCs w:val="24"/>
          <w:lang w:val="pl-PL"/>
        </w:rPr>
        <w:t>silver</w:t>
      </w:r>
      <w:proofErr w:type="spellEnd"/>
      <w:r w:rsidR="00E30330" w:rsidRPr="00E30330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E30330" w:rsidRPr="00E30330">
        <w:rPr>
          <w:rFonts w:ascii="Times New Roman" w:hAnsi="Times New Roman" w:cs="Times New Roman"/>
          <w:i/>
          <w:sz w:val="24"/>
          <w:szCs w:val="24"/>
          <w:lang w:val="pl-PL"/>
        </w:rPr>
        <w:t>economy</w:t>
      </w:r>
      <w:proofErr w:type="spellEnd"/>
      <w:r w:rsidR="00E30330">
        <w:rPr>
          <w:rFonts w:ascii="Times New Roman" w:hAnsi="Times New Roman" w:cs="Times New Roman"/>
          <w:sz w:val="24"/>
          <w:szCs w:val="24"/>
          <w:lang w:val="pl-PL"/>
        </w:rPr>
        <w:t>) od koloru siwych włosów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716A69" w:rsidRDefault="003B7241" w:rsidP="003B7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literaturze przedmiotu zazwyczaj zamiennie używa się takich pojęć </w:t>
      </w:r>
      <w:r w:rsidR="00020D81">
        <w:rPr>
          <w:rFonts w:ascii="Times New Roman" w:hAnsi="Times New Roman" w:cs="Times New Roman"/>
          <w:sz w:val="24"/>
          <w:szCs w:val="24"/>
          <w:lang w:val="pl-PL"/>
        </w:rPr>
        <w:t xml:space="preserve">jak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przedsiębiorczość seniorów, czy przedsiębiorczość trzeciego wieku. Z reguły za przedsiębiorców seniorów uznaje się osoby powyżej 50 roku życia określane mianem 50+ (Kautonen, 2013, s. 1). </w:t>
      </w:r>
      <w:r w:rsidR="00716A69">
        <w:rPr>
          <w:rFonts w:ascii="Times New Roman" w:hAnsi="Times New Roman" w:cs="Times New Roman"/>
          <w:sz w:val="24"/>
          <w:szCs w:val="24"/>
          <w:lang w:val="pl-PL"/>
        </w:rPr>
        <w:t xml:space="preserve">Choć tutaj należy zaznaczyć, że w </w:t>
      </w:r>
      <w:r w:rsidR="00716A69" w:rsidRPr="00716A69">
        <w:rPr>
          <w:rFonts w:ascii="Times New Roman" w:hAnsi="Times New Roman" w:cs="Times New Roman"/>
          <w:sz w:val="24"/>
          <w:szCs w:val="24"/>
          <w:lang w:val="pl-PL"/>
        </w:rPr>
        <w:t>terminologii ekonomicznej</w:t>
      </w:r>
      <w:r w:rsidR="00716A69">
        <w:rPr>
          <w:rFonts w:ascii="Times New Roman" w:hAnsi="Times New Roman" w:cs="Times New Roman"/>
          <w:sz w:val="24"/>
          <w:szCs w:val="24"/>
          <w:lang w:val="pl-PL"/>
        </w:rPr>
        <w:t>, która wyróżnia trzy okresy życia człowieka w powiązaniu z jego aktywnością zawodową,</w:t>
      </w:r>
      <w:r w:rsidR="00716A69" w:rsidRPr="00716A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16A69">
        <w:rPr>
          <w:rFonts w:ascii="Times New Roman" w:hAnsi="Times New Roman" w:cs="Times New Roman"/>
          <w:sz w:val="24"/>
          <w:szCs w:val="24"/>
          <w:lang w:val="pl-PL"/>
        </w:rPr>
        <w:t>granice te są inaczej określane</w:t>
      </w:r>
      <w:r w:rsidR="003D1CE3">
        <w:rPr>
          <w:rFonts w:ascii="Times New Roman" w:hAnsi="Times New Roman" w:cs="Times New Roman"/>
          <w:sz w:val="24"/>
          <w:szCs w:val="24"/>
          <w:lang w:val="pl-PL"/>
        </w:rPr>
        <w:t xml:space="preserve"> (zgodnie z metodyką Głównego Urzędu Statystycznego)</w:t>
      </w:r>
      <w:r w:rsidR="00716A69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716A69" w:rsidRDefault="00716A69" w:rsidP="00716A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358B8">
        <w:rPr>
          <w:rFonts w:ascii="Times New Roman" w:hAnsi="Times New Roman" w:cs="Times New Roman"/>
          <w:b/>
          <w:sz w:val="24"/>
          <w:szCs w:val="24"/>
          <w:lang w:val="pl-PL"/>
        </w:rPr>
        <w:t>okres przedprodukcyjny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obejmujący zarówno mężczyzn</w:t>
      </w:r>
      <w:r w:rsidR="00EC6A94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jak i kobiety przed 18 rokiem życia</w:t>
      </w:r>
      <w:r w:rsidR="00EC6A94">
        <w:rPr>
          <w:rFonts w:ascii="Times New Roman" w:hAnsi="Times New Roman" w:cs="Times New Roman"/>
          <w:sz w:val="24"/>
          <w:szCs w:val="24"/>
          <w:lang w:val="pl-PL"/>
        </w:rPr>
        <w:t xml:space="preserve"> (w niektórych krajach przed 20 rokiem)</w:t>
      </w:r>
      <w:r w:rsidR="0037625D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potocznie określany pierwszy</w:t>
      </w:r>
      <w:r w:rsidR="00D45674">
        <w:rPr>
          <w:rFonts w:ascii="Times New Roman" w:hAnsi="Times New Roman" w:cs="Times New Roman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wiek</w:t>
      </w:r>
      <w:r w:rsidR="00D45674">
        <w:rPr>
          <w:rFonts w:ascii="Times New Roman" w:hAnsi="Times New Roman" w:cs="Times New Roman"/>
          <w:sz w:val="24"/>
          <w:szCs w:val="24"/>
          <w:lang w:val="pl-PL"/>
        </w:rPr>
        <w:t>iem</w:t>
      </w:r>
      <w:r w:rsidR="0037625D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37625D" w:rsidRPr="0037625D">
        <w:rPr>
          <w:rFonts w:ascii="Times New Roman" w:hAnsi="Times New Roman" w:cs="Times New Roman"/>
          <w:i/>
          <w:sz w:val="24"/>
          <w:szCs w:val="24"/>
          <w:lang w:val="pl-PL"/>
        </w:rPr>
        <w:t>prime</w:t>
      </w:r>
      <w:proofErr w:type="spellEnd"/>
      <w:r w:rsidR="0037625D" w:rsidRPr="0037625D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37625D" w:rsidRPr="0037625D">
        <w:rPr>
          <w:rFonts w:ascii="Times New Roman" w:hAnsi="Times New Roman" w:cs="Times New Roman"/>
          <w:i/>
          <w:sz w:val="24"/>
          <w:szCs w:val="24"/>
          <w:lang w:val="pl-PL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7802B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716A69" w:rsidRDefault="00716A69" w:rsidP="00716A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358B8">
        <w:rPr>
          <w:rFonts w:ascii="Times New Roman" w:hAnsi="Times New Roman" w:cs="Times New Roman"/>
          <w:b/>
          <w:sz w:val="24"/>
          <w:szCs w:val="24"/>
          <w:lang w:val="pl-PL"/>
        </w:rPr>
        <w:t xml:space="preserve">okres produkcyjny </w:t>
      </w:r>
      <w:r>
        <w:rPr>
          <w:rFonts w:ascii="Times New Roman" w:hAnsi="Times New Roman" w:cs="Times New Roman"/>
          <w:sz w:val="24"/>
          <w:szCs w:val="24"/>
          <w:lang w:val="pl-PL"/>
        </w:rPr>
        <w:t>człowieka</w:t>
      </w:r>
      <w:r w:rsidR="007802BA">
        <w:rPr>
          <w:rFonts w:ascii="Times New Roman" w:hAnsi="Times New Roman" w:cs="Times New Roman"/>
          <w:sz w:val="24"/>
          <w:szCs w:val="24"/>
          <w:lang w:val="pl-PL"/>
        </w:rPr>
        <w:t xml:space="preserve">, który trwa od 18 roku życia do przejścia na emeryturę (do tej pory było to 60-65 lat, a obecnie w Polsce nawet 67 lat), przy </w:t>
      </w:r>
      <w:r w:rsidR="005622DC">
        <w:rPr>
          <w:rFonts w:ascii="Times New Roman" w:hAnsi="Times New Roman" w:cs="Times New Roman"/>
          <w:sz w:val="24"/>
          <w:szCs w:val="24"/>
          <w:lang w:val="pl-PL"/>
        </w:rPr>
        <w:t xml:space="preserve">czym </w:t>
      </w:r>
      <w:r w:rsidR="007802BA">
        <w:rPr>
          <w:rFonts w:ascii="Times New Roman" w:hAnsi="Times New Roman" w:cs="Times New Roman"/>
          <w:sz w:val="24"/>
          <w:szCs w:val="24"/>
          <w:lang w:val="pl-PL"/>
        </w:rPr>
        <w:t>pierwszy okres określany jest jako mobilny (do 44 roku życia), a ten późniejszy już jako niemobilny,</w:t>
      </w:r>
    </w:p>
    <w:p w:rsidR="003B7241" w:rsidRPr="00716A69" w:rsidRDefault="00716A69" w:rsidP="00716A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16A69">
        <w:rPr>
          <w:rFonts w:ascii="Times New Roman" w:hAnsi="Times New Roman" w:cs="Times New Roman"/>
          <w:b/>
          <w:sz w:val="24"/>
          <w:szCs w:val="24"/>
          <w:lang w:val="pl-PL"/>
        </w:rPr>
        <w:t>okres poprodukcyjny</w:t>
      </w:r>
      <w:r w:rsidRPr="00716A69">
        <w:rPr>
          <w:rFonts w:ascii="Times New Roman" w:hAnsi="Times New Roman" w:cs="Times New Roman"/>
          <w:sz w:val="24"/>
          <w:szCs w:val="24"/>
          <w:lang w:val="pl-PL"/>
        </w:rPr>
        <w:t xml:space="preserve"> człowieka, czyli najczęściej po 60–65 latach życia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(w zależności od wieku przejścia na emeryturę, które zazwyczaj jest inny dla kobiet i mężczyzn)</w:t>
      </w:r>
      <w:r w:rsidRPr="00716A69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który określany jest trzecim wiekiem</w:t>
      </w:r>
      <w:r w:rsidR="00B13BE9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B13BE9" w:rsidRPr="00B13BE9">
        <w:rPr>
          <w:rFonts w:ascii="Times New Roman" w:hAnsi="Times New Roman" w:cs="Times New Roman"/>
          <w:i/>
          <w:sz w:val="24"/>
          <w:szCs w:val="24"/>
          <w:lang w:val="pl-PL"/>
        </w:rPr>
        <w:t xml:space="preserve">third </w:t>
      </w:r>
      <w:proofErr w:type="spellStart"/>
      <w:r w:rsidR="00B13BE9" w:rsidRPr="00B13BE9">
        <w:rPr>
          <w:rFonts w:ascii="Times New Roman" w:hAnsi="Times New Roman" w:cs="Times New Roman"/>
          <w:i/>
          <w:sz w:val="24"/>
          <w:szCs w:val="24"/>
          <w:lang w:val="pl-PL"/>
        </w:rPr>
        <w:t>age</w:t>
      </w:r>
      <w:proofErr w:type="spellEnd"/>
      <w:r w:rsidR="00B13BE9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EE5DFE" w:rsidRDefault="00EE5DFE" w:rsidP="007D43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Przedsiębiorczość seniorów dotyczy zatem osób, które są jeszcze czynne zawodowo, a którym to do momentu przejścia na emeryturę pozostał jeszcze pewien czas</w:t>
      </w:r>
      <w:r w:rsidR="00A857A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a które z reguły są już mniej mobilne, mniej elastyczne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Są to osoby, które mają </w:t>
      </w:r>
      <w:r w:rsidR="00FF025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już spore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doświadczenie zawodowe</w:t>
      </w:r>
      <w:r w:rsidR="00FF025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a które to mogą szukać okazji do tzw. alternatywy później kariery (</w:t>
      </w:r>
      <w:proofErr w:type="spellStart"/>
      <w:r w:rsidR="00FF0252" w:rsidRPr="00FF0252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late-career</w:t>
      </w:r>
      <w:proofErr w:type="spellEnd"/>
      <w:r w:rsidR="00FF0252" w:rsidRPr="00FF0252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proofErr w:type="spellStart"/>
      <w:r w:rsidR="00FF0252" w:rsidRPr="00FF0252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alternative</w:t>
      </w:r>
      <w:proofErr w:type="spellEnd"/>
      <w:r w:rsidR="00FF025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</w:t>
      </w:r>
    </w:p>
    <w:p w:rsidR="00AB2C62" w:rsidRDefault="00AB2C62" w:rsidP="00AB2C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Kautoten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(2013) analizując literaturę przedmiotu zauważył, że dotychczasowe 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badania wykazały, że osoby starsze są znacznie mniej skłonn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podejmowania działalności gospodarczej, niż osoby młodsze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Analizy tego autora wskazują, że wskaźnik uruchamiania nowych przedsiębiorstw w Finlandii przez osoby w trzecim wieku stanowią zaledwie połowę wartości tego wskaźnika dla osób w pierwszym wieku (Kautonen, 2008). 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Hart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proofErr w:type="spellStart"/>
      <w:r w:rsidRPr="0003017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Anyadike-Danes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</w:t>
      </w:r>
      <w:r w:rsidRPr="0003017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proofErr w:type="spellStart"/>
      <w:r w:rsidRPr="0003017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Blackburn</w:t>
      </w:r>
      <w:proofErr w:type="spellEnd"/>
      <w:r w:rsidRPr="0003017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(2004)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podstawie wyników 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badań </w:t>
      </w:r>
      <w:r w:rsidRPr="00777E38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Global </w:t>
      </w:r>
      <w:proofErr w:type="spellStart"/>
      <w:r w:rsidRPr="00777E38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Entrepreneurship</w:t>
      </w:r>
      <w:proofErr w:type="spellEnd"/>
      <w:r w:rsidRPr="00777E38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Monitor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(GEM)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wykazali, że w Wielkiej Brytanii osobom w trzecim wieku 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(50-64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lat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 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połowę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zmniejsza się prawdopodobieństwo aktywności przedsiębiorczej niż 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respondent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om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młodym wieku </w:t>
      </w:r>
      <w:r w:rsidRPr="00777E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(20-49 lat)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Z kolei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Curran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Blackburn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(2001) w badaniach ankietowych na próbie 463 seniorów w wieku 50-75 lat zanotowali tylko niewielki odsetek osób deklarujących intencje przedsiębiorcze. </w:t>
      </w:r>
    </w:p>
    <w:p w:rsidR="007D43E3" w:rsidRDefault="007D43E3" w:rsidP="007D43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Kautonen, 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Tornikoski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&amp; 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Kibler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(2011)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przebadali związek wieku z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intencj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ami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przedsiębiorczy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przy wykorzystaniu dobrze znanej teorii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planowanego zachowania 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Ajzen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(1988, 1991), któr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utrzymuje, że zamiar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przedsiębiorcy ma wpływ nie tylko na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postaw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ę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wobec przedsiębiorczości; normy społeczne i wzorce, jak również postrzegan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ą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kontrola zachowań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ale także na samo zachowanie, czyli działanie przedsiębiorcze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Ajzen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1991; 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Jiménez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-Moreno &amp; Wach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2014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 Wach, 2015</w:t>
      </w:r>
      <w:r w:rsidR="00BA4AE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Oczywiście oprócz czynników wewnętrznych (takich jak wiek), na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intencje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rzedsiębiorcze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ma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również wpływ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szereg czynników zewnętrznych tkwiących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otoczeniu na różnych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jego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poziomach (makro, 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mezo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mikro)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a także zarówno w skali krajowej, jak i w kontekście międzynarodowym (Wach, 2014)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981F1E" w:rsidRDefault="00981F1E" w:rsidP="007D43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8A251F" w:rsidRDefault="008A251F" w:rsidP="007D43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081168" w:rsidRPr="00CD0206" w:rsidRDefault="00081168" w:rsidP="0008116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CD0206">
        <w:rPr>
          <w:rFonts w:ascii="Times New Roman" w:hAnsi="Times New Roman" w:cs="Times New Roman"/>
          <w:b/>
          <w:sz w:val="26"/>
          <w:szCs w:val="26"/>
          <w:lang w:val="pl-PL"/>
        </w:rPr>
        <w:t>Przegląd najnowszych wybranych badań empirycznych</w:t>
      </w:r>
    </w:p>
    <w:p w:rsidR="0035381B" w:rsidRDefault="00081168" w:rsidP="000811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proofErr w:type="spellStart"/>
      <w:r w:rsidRPr="00081168">
        <w:rPr>
          <w:rFonts w:ascii="Times New Roman" w:hAnsi="Times New Roman" w:cs="Times New Roman"/>
          <w:color w:val="000000" w:themeColor="text1"/>
          <w:lang w:val="pl-PL"/>
        </w:rPr>
        <w:t>Pilkova</w:t>
      </w:r>
      <w:proofErr w:type="spellEnd"/>
      <w:r w:rsidRPr="00081168">
        <w:rPr>
          <w:rFonts w:ascii="Times New Roman" w:hAnsi="Times New Roman" w:cs="Times New Roman"/>
          <w:color w:val="000000" w:themeColor="text1"/>
          <w:lang w:val="pl-PL"/>
        </w:rPr>
        <w:t xml:space="preserve">, </w:t>
      </w:r>
      <w:proofErr w:type="spellStart"/>
      <w:r w:rsidRPr="00081168">
        <w:rPr>
          <w:rFonts w:ascii="Times New Roman" w:hAnsi="Times New Roman" w:cs="Times New Roman"/>
          <w:color w:val="000000" w:themeColor="text1"/>
          <w:lang w:val="pl-PL"/>
        </w:rPr>
        <w:t>Holienka</w:t>
      </w:r>
      <w:proofErr w:type="spellEnd"/>
      <w:r w:rsidR="00EF75C7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Pr="00081168">
        <w:rPr>
          <w:rFonts w:ascii="Times New Roman" w:hAnsi="Times New Roman" w:cs="Times New Roman"/>
          <w:color w:val="000000" w:themeColor="text1"/>
          <w:lang w:val="pl-PL"/>
        </w:rPr>
        <w:t>oraz</w:t>
      </w:r>
      <w:r w:rsidR="00EF75C7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proofErr w:type="spellStart"/>
      <w:r w:rsidRPr="00081168">
        <w:rPr>
          <w:rFonts w:ascii="Times New Roman" w:hAnsi="Times New Roman" w:cs="Times New Roman"/>
          <w:color w:val="000000" w:themeColor="text1"/>
          <w:lang w:val="pl-PL"/>
        </w:rPr>
        <w:t>Rehak</w:t>
      </w:r>
      <w:proofErr w:type="spellEnd"/>
      <w:r w:rsidRPr="00081168">
        <w:rPr>
          <w:rFonts w:ascii="Times New Roman" w:hAnsi="Times New Roman" w:cs="Times New Roman"/>
          <w:color w:val="000000" w:themeColor="text1"/>
          <w:lang w:val="pl-PL"/>
        </w:rPr>
        <w:t xml:space="preserve"> (2014) analizując dane GEM dla wszystkich 28 krajów Unii Europejskiej skonstruowali </w:t>
      </w:r>
      <w:r>
        <w:rPr>
          <w:rFonts w:ascii="Times New Roman" w:hAnsi="Times New Roman" w:cs="Times New Roman"/>
          <w:color w:val="000000" w:themeColor="text1"/>
          <w:lang w:val="pl-PL"/>
        </w:rPr>
        <w:t xml:space="preserve">wskaźnik </w:t>
      </w:r>
      <w:r w:rsidR="00F4032E">
        <w:rPr>
          <w:rFonts w:ascii="Times New Roman" w:hAnsi="Times New Roman" w:cs="Times New Roman"/>
          <w:color w:val="000000" w:themeColor="text1"/>
          <w:lang w:val="pl-PL"/>
        </w:rPr>
        <w:t xml:space="preserve">aktywności </w:t>
      </w:r>
      <w:r>
        <w:rPr>
          <w:rFonts w:ascii="Times New Roman" w:hAnsi="Times New Roman" w:cs="Times New Roman"/>
          <w:color w:val="000000" w:themeColor="text1"/>
          <w:lang w:val="pl-PL"/>
        </w:rPr>
        <w:t>przedsiębiorcz</w:t>
      </w:r>
      <w:r w:rsidR="00F4032E">
        <w:rPr>
          <w:rFonts w:ascii="Times New Roman" w:hAnsi="Times New Roman" w:cs="Times New Roman"/>
          <w:color w:val="000000" w:themeColor="text1"/>
          <w:lang w:val="pl-PL"/>
        </w:rPr>
        <w:t xml:space="preserve">ej </w:t>
      </w:r>
      <w:r>
        <w:rPr>
          <w:rFonts w:ascii="Times New Roman" w:hAnsi="Times New Roman" w:cs="Times New Roman"/>
          <w:color w:val="000000" w:themeColor="text1"/>
          <w:lang w:val="pl-PL"/>
        </w:rPr>
        <w:t>seniorów SEA (</w:t>
      </w:r>
      <w:r w:rsidRPr="00081168">
        <w:rPr>
          <w:rFonts w:ascii="Times New Roman" w:hAnsi="Times New Roman" w:cs="Times New Roman"/>
          <w:i/>
          <w:color w:val="000000" w:themeColor="text1"/>
          <w:lang w:val="pl-PL"/>
        </w:rPr>
        <w:t xml:space="preserve">senior </w:t>
      </w:r>
      <w:proofErr w:type="spellStart"/>
      <w:r w:rsidRPr="00081168">
        <w:rPr>
          <w:rFonts w:ascii="Times New Roman" w:hAnsi="Times New Roman" w:cs="Times New Roman"/>
          <w:i/>
          <w:color w:val="000000" w:themeColor="text1"/>
          <w:lang w:val="pl-PL"/>
        </w:rPr>
        <w:t>entreprenerial</w:t>
      </w:r>
      <w:proofErr w:type="spellEnd"/>
      <w:r w:rsidRPr="00081168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proofErr w:type="spellStart"/>
      <w:r w:rsidRPr="00081168">
        <w:rPr>
          <w:rFonts w:ascii="Times New Roman" w:hAnsi="Times New Roman" w:cs="Times New Roman"/>
          <w:i/>
          <w:color w:val="000000" w:themeColor="text1"/>
          <w:lang w:val="pl-PL"/>
        </w:rPr>
        <w:t>activity</w:t>
      </w:r>
      <w:proofErr w:type="spellEnd"/>
      <w:r>
        <w:rPr>
          <w:rFonts w:ascii="Times New Roman" w:hAnsi="Times New Roman" w:cs="Times New Roman"/>
          <w:color w:val="000000" w:themeColor="text1"/>
          <w:lang w:val="pl-PL"/>
        </w:rPr>
        <w:t>)</w:t>
      </w:r>
      <w:r w:rsidR="00D763D7">
        <w:rPr>
          <w:rFonts w:ascii="Times New Roman" w:hAnsi="Times New Roman" w:cs="Times New Roman"/>
          <w:color w:val="000000" w:themeColor="text1"/>
          <w:lang w:val="pl-PL"/>
        </w:rPr>
        <w:t xml:space="preserve"> dla respondentów w wieku 55-64 lata, który stanowił wyodrębnioną cześć populacji w zakresie tradycyjnego wskaźnika TEA (</w:t>
      </w:r>
      <w:proofErr w:type="spellStart"/>
      <w:r w:rsidR="00D763D7" w:rsidRPr="00D763D7">
        <w:rPr>
          <w:rFonts w:ascii="Times New Roman" w:hAnsi="Times New Roman" w:cs="Times New Roman"/>
          <w:i/>
          <w:color w:val="000000" w:themeColor="text1"/>
          <w:lang w:val="pl-PL"/>
        </w:rPr>
        <w:t>total</w:t>
      </w:r>
      <w:proofErr w:type="spellEnd"/>
      <w:r w:rsidR="00D763D7" w:rsidRPr="00D763D7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proofErr w:type="spellStart"/>
      <w:r w:rsidR="00D763D7" w:rsidRPr="00D763D7">
        <w:rPr>
          <w:rFonts w:ascii="Times New Roman" w:hAnsi="Times New Roman" w:cs="Times New Roman"/>
          <w:i/>
          <w:color w:val="000000" w:themeColor="text1"/>
          <w:lang w:val="pl-PL"/>
        </w:rPr>
        <w:t>entreprenerial</w:t>
      </w:r>
      <w:proofErr w:type="spellEnd"/>
      <w:r w:rsidR="00D763D7" w:rsidRPr="00D763D7">
        <w:rPr>
          <w:rFonts w:ascii="Times New Roman" w:hAnsi="Times New Roman" w:cs="Times New Roman"/>
          <w:i/>
          <w:color w:val="000000" w:themeColor="text1"/>
          <w:lang w:val="pl-PL"/>
        </w:rPr>
        <w:t xml:space="preserve"> </w:t>
      </w:r>
      <w:proofErr w:type="spellStart"/>
      <w:r w:rsidR="00D763D7" w:rsidRPr="00D763D7">
        <w:rPr>
          <w:rFonts w:ascii="Times New Roman" w:hAnsi="Times New Roman" w:cs="Times New Roman"/>
          <w:i/>
          <w:color w:val="000000" w:themeColor="text1"/>
          <w:lang w:val="pl-PL"/>
        </w:rPr>
        <w:t>acivity</w:t>
      </w:r>
      <w:proofErr w:type="spellEnd"/>
      <w:r w:rsidR="00D763D7">
        <w:rPr>
          <w:rFonts w:ascii="Times New Roman" w:hAnsi="Times New Roman" w:cs="Times New Roman"/>
          <w:color w:val="000000" w:themeColor="text1"/>
          <w:lang w:val="pl-PL"/>
        </w:rPr>
        <w:t>)</w:t>
      </w:r>
      <w:r w:rsidRPr="00081168">
        <w:rPr>
          <w:rFonts w:ascii="Times New Roman" w:hAnsi="Times New Roman" w:cs="Times New Roman"/>
          <w:color w:val="000000" w:themeColor="text1"/>
          <w:lang w:val="pl-PL"/>
        </w:rPr>
        <w:t>.</w:t>
      </w:r>
      <w:r w:rsidR="00264B61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proofErr w:type="spellStart"/>
      <w:r w:rsidR="00264B61">
        <w:rPr>
          <w:rFonts w:ascii="Times New Roman" w:hAnsi="Times New Roman" w:cs="Times New Roman"/>
          <w:color w:val="000000" w:themeColor="text1"/>
          <w:lang w:val="pl-PL"/>
        </w:rPr>
        <w:t>Wartośc</w:t>
      </w:r>
      <w:proofErr w:type="spellEnd"/>
      <w:r w:rsidR="00264B61">
        <w:rPr>
          <w:rFonts w:ascii="Times New Roman" w:hAnsi="Times New Roman" w:cs="Times New Roman"/>
          <w:color w:val="000000" w:themeColor="text1"/>
          <w:lang w:val="pl-PL"/>
        </w:rPr>
        <w:t xml:space="preserve"> wskaźnika była najwyższa w Szwecji (0,90), a najniższa na Słowacji (0,21). Na podstawie analiz statystycznych wyodrębniono </w:t>
      </w:r>
      <w:r w:rsidR="002844B0">
        <w:rPr>
          <w:rFonts w:ascii="Times New Roman" w:hAnsi="Times New Roman" w:cs="Times New Roman"/>
          <w:color w:val="000000" w:themeColor="text1"/>
          <w:lang w:val="pl-PL"/>
        </w:rPr>
        <w:t xml:space="preserve">trzy </w:t>
      </w:r>
      <w:r w:rsidR="00264B61">
        <w:rPr>
          <w:rFonts w:ascii="Times New Roman" w:hAnsi="Times New Roman" w:cs="Times New Roman"/>
          <w:color w:val="000000" w:themeColor="text1"/>
          <w:lang w:val="pl-PL"/>
        </w:rPr>
        <w:t>grupy krajów, z wysok</w:t>
      </w:r>
      <w:r w:rsidR="002844B0">
        <w:rPr>
          <w:rFonts w:ascii="Times New Roman" w:hAnsi="Times New Roman" w:cs="Times New Roman"/>
          <w:color w:val="000000" w:themeColor="text1"/>
          <w:lang w:val="pl-PL"/>
        </w:rPr>
        <w:t>ą</w:t>
      </w:r>
      <w:r w:rsidR="00264B61">
        <w:rPr>
          <w:rFonts w:ascii="Times New Roman" w:hAnsi="Times New Roman" w:cs="Times New Roman"/>
          <w:color w:val="000000" w:themeColor="text1"/>
          <w:lang w:val="pl-PL"/>
        </w:rPr>
        <w:t>, średni</w:t>
      </w:r>
      <w:r w:rsidR="002844B0">
        <w:rPr>
          <w:rFonts w:ascii="Times New Roman" w:hAnsi="Times New Roman" w:cs="Times New Roman"/>
          <w:color w:val="000000" w:themeColor="text1"/>
          <w:lang w:val="pl-PL"/>
        </w:rPr>
        <w:t>ą</w:t>
      </w:r>
      <w:r w:rsidR="00264B61">
        <w:rPr>
          <w:rFonts w:ascii="Times New Roman" w:hAnsi="Times New Roman" w:cs="Times New Roman"/>
          <w:color w:val="000000" w:themeColor="text1"/>
          <w:lang w:val="pl-PL"/>
        </w:rPr>
        <w:t xml:space="preserve"> oraz nisk</w:t>
      </w:r>
      <w:r w:rsidR="002844B0">
        <w:rPr>
          <w:rFonts w:ascii="Times New Roman" w:hAnsi="Times New Roman" w:cs="Times New Roman"/>
          <w:color w:val="000000" w:themeColor="text1"/>
          <w:lang w:val="pl-PL"/>
        </w:rPr>
        <w:t>ą</w:t>
      </w:r>
      <w:r w:rsidR="00264B61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2844B0">
        <w:rPr>
          <w:rFonts w:ascii="Times New Roman" w:hAnsi="Times New Roman" w:cs="Times New Roman"/>
          <w:color w:val="000000" w:themeColor="text1"/>
          <w:lang w:val="pl-PL"/>
        </w:rPr>
        <w:t xml:space="preserve">wartością tego </w:t>
      </w:r>
      <w:r w:rsidR="00264B61">
        <w:rPr>
          <w:rFonts w:ascii="Times New Roman" w:hAnsi="Times New Roman" w:cs="Times New Roman"/>
          <w:color w:val="000000" w:themeColor="text1"/>
          <w:lang w:val="pl-PL"/>
        </w:rPr>
        <w:t>wskaźnikiem</w:t>
      </w:r>
      <w:r w:rsidR="00F4032E">
        <w:rPr>
          <w:rFonts w:ascii="Times New Roman" w:hAnsi="Times New Roman" w:cs="Times New Roman"/>
          <w:color w:val="000000" w:themeColor="text1"/>
          <w:lang w:val="pl-PL"/>
        </w:rPr>
        <w:t xml:space="preserve"> (Rysunek </w:t>
      </w:r>
      <w:r w:rsidR="007D43E3">
        <w:rPr>
          <w:rFonts w:ascii="Times New Roman" w:hAnsi="Times New Roman" w:cs="Times New Roman"/>
          <w:color w:val="000000" w:themeColor="text1"/>
          <w:lang w:val="pl-PL"/>
        </w:rPr>
        <w:t>1</w:t>
      </w:r>
      <w:r w:rsidR="00F4032E">
        <w:rPr>
          <w:rFonts w:ascii="Times New Roman" w:hAnsi="Times New Roman" w:cs="Times New Roman"/>
          <w:color w:val="000000" w:themeColor="text1"/>
          <w:lang w:val="pl-PL"/>
        </w:rPr>
        <w:t>)</w:t>
      </w:r>
      <w:r w:rsidR="00264B61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  <w:r w:rsidR="002844B0">
        <w:rPr>
          <w:rFonts w:ascii="Times New Roman" w:hAnsi="Times New Roman" w:cs="Times New Roman"/>
          <w:color w:val="000000" w:themeColor="text1"/>
          <w:lang w:val="pl-PL"/>
        </w:rPr>
        <w:t xml:space="preserve">W grupie sześciu krajów o najniższych wartościach aż pięć z nich to nowe kraje członkowskie, w tym Polska. </w:t>
      </w:r>
    </w:p>
    <w:p w:rsidR="00F4032E" w:rsidRDefault="00F4032E" w:rsidP="00081168">
      <w:pPr>
        <w:spacing w:after="0" w:line="360" w:lineRule="auto"/>
        <w:jc w:val="both"/>
        <w:rPr>
          <w:b/>
          <w:lang w:val="pl-PL"/>
        </w:rPr>
      </w:pPr>
    </w:p>
    <w:p w:rsidR="008A251F" w:rsidRDefault="008A251F" w:rsidP="00081168">
      <w:pPr>
        <w:spacing w:after="0" w:line="360" w:lineRule="auto"/>
        <w:jc w:val="both"/>
        <w:rPr>
          <w:b/>
          <w:lang w:val="pl-PL"/>
        </w:rPr>
      </w:pPr>
    </w:p>
    <w:p w:rsidR="008A251F" w:rsidRDefault="008A251F" w:rsidP="00081168">
      <w:pPr>
        <w:spacing w:after="0" w:line="360" w:lineRule="auto"/>
        <w:jc w:val="both"/>
        <w:rPr>
          <w:b/>
          <w:lang w:val="pl-PL"/>
        </w:rPr>
      </w:pPr>
    </w:p>
    <w:p w:rsidR="008A251F" w:rsidRDefault="008A251F" w:rsidP="00081168">
      <w:pPr>
        <w:spacing w:after="0" w:line="360" w:lineRule="auto"/>
        <w:jc w:val="both"/>
        <w:rPr>
          <w:b/>
          <w:lang w:val="pl-PL"/>
        </w:rPr>
      </w:pPr>
    </w:p>
    <w:p w:rsidR="008A251F" w:rsidRDefault="008A251F" w:rsidP="00081168">
      <w:pPr>
        <w:spacing w:after="0" w:line="360" w:lineRule="auto"/>
        <w:jc w:val="both"/>
        <w:rPr>
          <w:b/>
          <w:lang w:val="pl-PL"/>
        </w:rPr>
      </w:pPr>
    </w:p>
    <w:p w:rsidR="008A251F" w:rsidRDefault="008A251F" w:rsidP="00081168">
      <w:pPr>
        <w:spacing w:after="0" w:line="360" w:lineRule="auto"/>
        <w:jc w:val="both"/>
        <w:rPr>
          <w:b/>
          <w:lang w:val="pl-PL"/>
        </w:rPr>
      </w:pPr>
    </w:p>
    <w:p w:rsidR="008A251F" w:rsidRDefault="008A251F" w:rsidP="00081168">
      <w:pPr>
        <w:spacing w:after="0" w:line="360" w:lineRule="auto"/>
        <w:jc w:val="both"/>
        <w:rPr>
          <w:b/>
          <w:lang w:val="pl-PL"/>
        </w:rPr>
      </w:pPr>
    </w:p>
    <w:p w:rsidR="008A251F" w:rsidRDefault="008A251F" w:rsidP="00081168">
      <w:pPr>
        <w:spacing w:after="0" w:line="360" w:lineRule="auto"/>
        <w:jc w:val="both"/>
        <w:rPr>
          <w:b/>
          <w:lang w:val="pl-PL"/>
        </w:rPr>
      </w:pPr>
    </w:p>
    <w:p w:rsidR="008A251F" w:rsidRPr="00081168" w:rsidRDefault="008A251F" w:rsidP="00081168">
      <w:pPr>
        <w:spacing w:after="0" w:line="360" w:lineRule="auto"/>
        <w:jc w:val="both"/>
        <w:rPr>
          <w:b/>
          <w:lang w:val="pl-PL"/>
        </w:rPr>
      </w:pPr>
    </w:p>
    <w:p w:rsidR="00F4032E" w:rsidRPr="00A3729B" w:rsidRDefault="00F4032E" w:rsidP="00F4032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Rysunek </w:t>
      </w:r>
      <w:r w:rsidR="007D43E3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A372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Indeks aktywności przedsiębiorczej seniorów w </w:t>
      </w:r>
      <w:r w:rsidR="008A251F">
        <w:rPr>
          <w:rFonts w:ascii="Times New Roman" w:hAnsi="Times New Roman" w:cs="Times New Roman"/>
          <w:sz w:val="24"/>
          <w:szCs w:val="24"/>
          <w:lang w:val="pl-PL"/>
        </w:rPr>
        <w:t xml:space="preserve">wybranych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krajach </w:t>
      </w:r>
      <w:r w:rsidR="008A251F">
        <w:rPr>
          <w:rFonts w:ascii="Times New Roman" w:hAnsi="Times New Roman" w:cs="Times New Roman"/>
          <w:sz w:val="24"/>
          <w:szCs w:val="24"/>
          <w:lang w:val="pl-PL"/>
        </w:rPr>
        <w:t xml:space="preserve">europejskich </w:t>
      </w:r>
      <w:r>
        <w:rPr>
          <w:rFonts w:ascii="Times New Roman" w:hAnsi="Times New Roman" w:cs="Times New Roman"/>
          <w:sz w:val="24"/>
          <w:szCs w:val="24"/>
          <w:lang w:val="pl-PL"/>
        </w:rPr>
        <w:t>w 2013 roku</w:t>
      </w:r>
    </w:p>
    <w:p w:rsidR="00F4032E" w:rsidRDefault="00F4032E" w:rsidP="00F4032E">
      <w:pPr>
        <w:spacing w:after="0" w:line="360" w:lineRule="auto"/>
        <w:rPr>
          <w:b/>
        </w:rPr>
      </w:pPr>
    </w:p>
    <w:p w:rsidR="00F4032E" w:rsidRDefault="002C1D38" w:rsidP="00F4032E">
      <w:pPr>
        <w:spacing w:after="0" w:line="360" w:lineRule="auto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12A30F0A" wp14:editId="3E476478">
            <wp:extent cx="4729163" cy="6734175"/>
            <wp:effectExtent l="0" t="0" r="1460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2C1D38">
        <w:rPr>
          <w:noProof/>
          <w:color w:val="000000" w:themeColor="text1"/>
          <w:lang w:eastAsia="en-GB"/>
        </w:rPr>
        <w:t xml:space="preserve"> </w:t>
      </w:r>
    </w:p>
    <w:p w:rsidR="00F4032E" w:rsidRPr="00551250" w:rsidRDefault="00F4032E" w:rsidP="00F4032E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Źródło</w:t>
      </w:r>
      <w:proofErr w:type="spellEnd"/>
      <w:r w:rsidRPr="00551250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="00EF75C7" w:rsidRPr="00EF75C7">
        <w:rPr>
          <w:rFonts w:ascii="Times New Roman" w:hAnsi="Times New Roman" w:cs="Times New Roman"/>
          <w:sz w:val="20"/>
          <w:szCs w:val="20"/>
          <w:lang w:val="en-US"/>
        </w:rPr>
        <w:t>Pilkova</w:t>
      </w:r>
      <w:proofErr w:type="spellEnd"/>
      <w:r w:rsidR="00EF75C7" w:rsidRPr="00EF75C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F75C7" w:rsidRPr="00EF75C7">
        <w:rPr>
          <w:rFonts w:ascii="Times New Roman" w:hAnsi="Times New Roman" w:cs="Times New Roman"/>
          <w:sz w:val="20"/>
          <w:szCs w:val="20"/>
          <w:lang w:val="en-US"/>
        </w:rPr>
        <w:t>Holienka</w:t>
      </w:r>
      <w:proofErr w:type="spellEnd"/>
      <w:r w:rsidR="00EF75C7" w:rsidRPr="00EF75C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EF75C7">
        <w:rPr>
          <w:rFonts w:ascii="Times New Roman" w:hAnsi="Times New Roman" w:cs="Times New Roman"/>
          <w:sz w:val="20"/>
          <w:szCs w:val="20"/>
          <w:lang w:val="en-US"/>
        </w:rPr>
        <w:t xml:space="preserve">&amp; </w:t>
      </w:r>
      <w:proofErr w:type="spellStart"/>
      <w:r w:rsidR="00EF75C7" w:rsidRPr="00EF75C7">
        <w:rPr>
          <w:rFonts w:ascii="Times New Roman" w:hAnsi="Times New Roman" w:cs="Times New Roman"/>
          <w:sz w:val="20"/>
          <w:szCs w:val="20"/>
          <w:lang w:val="en-US"/>
        </w:rPr>
        <w:t>Rehak</w:t>
      </w:r>
      <w:proofErr w:type="spellEnd"/>
      <w:r w:rsidR="00EF75C7" w:rsidRPr="00EF75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51250">
        <w:rPr>
          <w:rFonts w:ascii="Times New Roman" w:hAnsi="Times New Roman" w:cs="Times New Roman"/>
          <w:sz w:val="20"/>
          <w:szCs w:val="20"/>
          <w:lang w:val="en-US"/>
        </w:rPr>
        <w:t xml:space="preserve">(2014,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51250">
        <w:rPr>
          <w:rFonts w:ascii="Times New Roman" w:hAnsi="Times New Roman" w:cs="Times New Roman"/>
          <w:sz w:val="20"/>
          <w:szCs w:val="20"/>
          <w:lang w:val="en-US"/>
        </w:rPr>
        <w:t>. 5</w:t>
      </w:r>
      <w:r w:rsidR="00EF75C7">
        <w:rPr>
          <w:rFonts w:ascii="Times New Roman" w:hAnsi="Times New Roman" w:cs="Times New Roman"/>
          <w:sz w:val="20"/>
          <w:szCs w:val="20"/>
          <w:lang w:val="en-US"/>
        </w:rPr>
        <w:t>27</w:t>
      </w:r>
      <w:r w:rsidRPr="00551250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3F0CA1" w:rsidRDefault="003F0CA1" w:rsidP="00F403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C3989" w:rsidRDefault="00BC3989" w:rsidP="007D43E3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Jak wykaza</w:t>
      </w:r>
      <w:r w:rsidR="00BA4AE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również na podstawie danych GEM dla krajów Unii Europejskiej działalność przedsiębiorca uzależniona jest </w:t>
      </w:r>
      <w:r w:rsidR="00AD18E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szeregu czynników społeczno-kulturowych</w:t>
      </w:r>
      <w:r w:rsidR="00BA4AE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(Wach, 2015a)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dlatego wydaje się, że obiektywniejsze są badania przeprowadzenie w danym </w:t>
      </w:r>
      <w:r w:rsidR="0080554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kraju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ewentualnie w grupie krajów o zbliżonej kulturze przedsiębiorczości, co niweluje wpływ innych czynników. </w:t>
      </w:r>
      <w:r w:rsidR="00B13B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Przykładowo, </w:t>
      </w:r>
      <w:proofErr w:type="spellStart"/>
      <w:r w:rsidR="00B13B38" w:rsidRPr="00B13B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Akanni</w:t>
      </w:r>
      <w:proofErr w:type="spellEnd"/>
      <w:r w:rsidR="00B13B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</w:t>
      </w:r>
      <w:proofErr w:type="spellStart"/>
      <w:r w:rsidR="00B13B38" w:rsidRPr="00B13B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Čepar</w:t>
      </w:r>
      <w:proofErr w:type="spellEnd"/>
      <w:r w:rsidR="00B13B38" w:rsidRPr="00B13B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(2015)</w:t>
      </w:r>
      <w:r w:rsidR="00B13B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wykazali</w:t>
      </w:r>
      <w:r w:rsidR="007D305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przy użyciu modeli regresji</w:t>
      </w:r>
      <w:r w:rsidR="00B13B3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że w Słowenii na obszarach zamieszkanych przez starzejące się społeczeństwo stopa bezrobocia jest wyższa, a wskaźnik przedsiębiorczości (liczba przedsiębiorstw na 1000 mieszkańców) jest niższy. </w:t>
      </w:r>
      <w:r w:rsidR="007C5F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 podobnych wniosków doszli </w:t>
      </w:r>
      <w:r w:rsidR="007C5FF1" w:rsidRPr="007C5F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Liang, </w:t>
      </w:r>
      <w:proofErr w:type="spellStart"/>
      <w:r w:rsidR="007C5FF1" w:rsidRPr="007C5F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Wang</w:t>
      </w:r>
      <w:proofErr w:type="spellEnd"/>
      <w:r w:rsidR="007C5FF1" w:rsidRPr="007C5F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  <w:r w:rsidR="007C5F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</w:t>
      </w:r>
      <w:proofErr w:type="spellStart"/>
      <w:r w:rsidR="007C5FF1" w:rsidRPr="007C5F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Lazear</w:t>
      </w:r>
      <w:proofErr w:type="spellEnd"/>
      <w:r w:rsidR="007C5F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(2014), którzy analizując dane GEM dla </w:t>
      </w:r>
      <w:r w:rsidR="002E66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poszczególnych krajów oddzielnie przy wykorzystaniu korelacji </w:t>
      </w:r>
      <w:r w:rsidR="007C5F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wykazali, że kreatywność zmniejsza się wraz z wiekiem człowieka, a wysoki udział osób starszych w społeczeństwa zwalnia przedsiębiorczość.</w:t>
      </w:r>
      <w:r w:rsidR="00C63F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7D43E3" w:rsidRPr="00A3729B" w:rsidRDefault="007D43E3" w:rsidP="007D43E3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podstawie badań empirycznych można wyprowadzić pewne uogólnienia.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Kautonen,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Down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Minniti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(2014)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obserw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owali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trzy zależności między wiekiem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 działalnością przedsiębiorczą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oparciu o wcześniejsze badania ekonometrycznego (Rysunek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). Przede wszystkim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dla tych osób, które dążą do posiadania i prowadzenia działalności gospodarczej i inwestowania w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nią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(właściciel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e-menedżerowie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), wpływ wieku na prawdopodobieństwo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angażowani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się w jaką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kolwiek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formę przedsiębiorczości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wykazuje zależność o kształcie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odwrotn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ej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krzywej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 (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é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vesque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&amp; 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Minniti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2006; Parker, 2009). Prawdopodobieństwo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stania się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przedsiębiorcą wzrasta wraz z wiekiem do pewn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ego punktu (zazwyczaj między 35-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44 lat) i zmniejsza się w kolejnych latach. Po drugie, dla tych, którzy aspirują do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działalności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 własny rachunek (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samozatrudnieni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), ale którzy nie przewidują zatrudniani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pracowników, prawdopodobieństwo rozpoczęci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 działalności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gospodarcz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ej wzrasta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wiekiem, głównie w wyniku akumulacji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wraz z wiekiem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zasobów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przedsiębiorcz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ych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taki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ch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 doświadczenie, wiedz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a,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aktywa finansowe (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Henley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2007; Singh &amp; </w:t>
      </w:r>
      <w:proofErr w:type="spellStart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DeNoble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2003). Po trzecie, dla tych, którzy są wypychan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kierunku samozatrudnienia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czyli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przedsiębiorców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wymuszonych zwolnieniem (</w:t>
      </w:r>
      <w:proofErr w:type="spellStart"/>
      <w:r w:rsidRPr="0005008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reluctant</w:t>
      </w:r>
      <w:proofErr w:type="spellEnd"/>
      <w:r w:rsidRPr="0005008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proofErr w:type="spellStart"/>
      <w:r w:rsidRPr="0005008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entrepreneurs</w:t>
      </w:r>
      <w:proofErr w:type="spellEnd"/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zmuszonych do stworzenia sobie miejsca pacy (</w:t>
      </w:r>
      <w:proofErr w:type="spellStart"/>
      <w:r w:rsidRPr="0005008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buying</w:t>
      </w:r>
      <w:proofErr w:type="spellEnd"/>
      <w:r w:rsidRPr="0005008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a </w:t>
      </w:r>
      <w:proofErr w:type="spellStart"/>
      <w:r w:rsidRPr="0005008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job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),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nawet jeśli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preferują oni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ę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najemn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ą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"krzywa prawdopodobieństw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jest stosunkowo płaska, co sugeruje, że wiek ma niewielki wpływ na decyzje tych osób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co 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 angażowania się w działalność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gospodarcz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ą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" (Kautonen </w:t>
      </w:r>
      <w:r w:rsidRPr="0005008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et al.</w:t>
      </w:r>
      <w:r w:rsidRPr="00A372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2014, s. 588).</w:t>
      </w:r>
    </w:p>
    <w:p w:rsidR="007D43E3" w:rsidRDefault="007D43E3" w:rsidP="007D43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5E07BB" w:rsidRDefault="005E07BB" w:rsidP="007D43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3B49F3" w:rsidRDefault="003B49F3" w:rsidP="007D43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3B49F3" w:rsidRDefault="003B49F3" w:rsidP="007D43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3B49F3" w:rsidRDefault="003B49F3" w:rsidP="007D43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3B49F3" w:rsidRDefault="003B49F3" w:rsidP="007D43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7D43E3" w:rsidRPr="00A3729B" w:rsidRDefault="007D43E3" w:rsidP="007D43E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Rysunek 2</w:t>
      </w:r>
      <w:r w:rsidRPr="00A372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Wiek potencjalnego przedsiębiorcy a prawdopodobieństwo zachowań przedsiębiorczych w zakresie prowadzenia działalności gospodarczej </w:t>
      </w:r>
    </w:p>
    <w:p w:rsidR="007D43E3" w:rsidRDefault="007D43E3" w:rsidP="007D43E3">
      <w:pPr>
        <w:spacing w:after="0" w:line="360" w:lineRule="auto"/>
        <w:rPr>
          <w:b/>
        </w:rPr>
      </w:pPr>
    </w:p>
    <w:p w:rsidR="007D43E3" w:rsidRDefault="003B49F3" w:rsidP="007D43E3">
      <w:pPr>
        <w:spacing w:after="0" w:line="360" w:lineRule="auto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748655" cy="3536315"/>
            <wp:effectExtent l="0" t="0" r="4445" b="698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E3" w:rsidRPr="00551250" w:rsidRDefault="007D43E3" w:rsidP="007D43E3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Źródło</w:t>
      </w:r>
      <w:proofErr w:type="spellEnd"/>
      <w:r w:rsidRPr="00551250">
        <w:rPr>
          <w:rFonts w:ascii="Times New Roman" w:hAnsi="Times New Roman" w:cs="Times New Roman"/>
          <w:sz w:val="20"/>
          <w:szCs w:val="20"/>
          <w:lang w:val="en-US"/>
        </w:rPr>
        <w:t xml:space="preserve">: Kautonen, Down &amp; </w:t>
      </w:r>
      <w:proofErr w:type="spellStart"/>
      <w:r w:rsidRPr="00551250">
        <w:rPr>
          <w:rFonts w:ascii="Times New Roman" w:hAnsi="Times New Roman" w:cs="Times New Roman"/>
          <w:sz w:val="20"/>
          <w:szCs w:val="20"/>
          <w:lang w:val="en-US"/>
        </w:rPr>
        <w:t>Minniti</w:t>
      </w:r>
      <w:proofErr w:type="spellEnd"/>
      <w:r w:rsidRPr="00551250">
        <w:rPr>
          <w:rFonts w:ascii="Times New Roman" w:hAnsi="Times New Roman" w:cs="Times New Roman"/>
          <w:sz w:val="20"/>
          <w:szCs w:val="20"/>
          <w:lang w:val="en-US"/>
        </w:rPr>
        <w:t xml:space="preserve"> (2014,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551250">
        <w:rPr>
          <w:rFonts w:ascii="Times New Roman" w:hAnsi="Times New Roman" w:cs="Times New Roman"/>
          <w:sz w:val="20"/>
          <w:szCs w:val="20"/>
          <w:lang w:val="en-US"/>
        </w:rPr>
        <w:t>. 591).</w:t>
      </w:r>
    </w:p>
    <w:p w:rsidR="007D43E3" w:rsidRDefault="007D43E3" w:rsidP="007D43E3">
      <w:pPr>
        <w:spacing w:after="0" w:line="360" w:lineRule="auto"/>
        <w:rPr>
          <w:b/>
          <w:lang w:val="pl-PL"/>
        </w:rPr>
      </w:pPr>
    </w:p>
    <w:p w:rsidR="005E07BB" w:rsidRPr="00BF237F" w:rsidRDefault="005E07BB" w:rsidP="007D43E3">
      <w:pPr>
        <w:spacing w:after="0" w:line="360" w:lineRule="auto"/>
        <w:rPr>
          <w:b/>
          <w:lang w:val="pl-PL"/>
        </w:rPr>
      </w:pPr>
    </w:p>
    <w:p w:rsidR="00CD0206" w:rsidRPr="00CD0206" w:rsidRDefault="00CD0206" w:rsidP="00CD020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CD0206">
        <w:rPr>
          <w:rFonts w:ascii="Times New Roman" w:hAnsi="Times New Roman" w:cs="Times New Roman"/>
          <w:b/>
          <w:sz w:val="26"/>
          <w:szCs w:val="26"/>
          <w:lang w:val="pl-PL"/>
        </w:rPr>
        <w:t>P</w:t>
      </w:r>
      <w:r>
        <w:rPr>
          <w:rFonts w:ascii="Times New Roman" w:hAnsi="Times New Roman" w:cs="Times New Roman"/>
          <w:b/>
          <w:sz w:val="26"/>
          <w:szCs w:val="26"/>
          <w:lang w:val="pl-PL"/>
        </w:rPr>
        <w:t>odsumowanie</w:t>
      </w:r>
    </w:p>
    <w:p w:rsidR="00EE33EE" w:rsidRDefault="00A25897" w:rsidP="00A25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25897">
        <w:rPr>
          <w:rFonts w:ascii="Times New Roman" w:hAnsi="Times New Roman" w:cs="Times New Roman"/>
          <w:sz w:val="24"/>
          <w:szCs w:val="24"/>
          <w:lang w:val="pl-PL"/>
        </w:rPr>
        <w:t xml:space="preserve">Zaprezentowany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przegląd literatury przedmiotu wskazuje, że w zasadzie wraz wiekiem maleją intencje przedsiębiorcze oraz aktywność przedsiębiorcza człowieka, bez względu na inne czynniki społeczno-kulturowe. Wraz z wiekiem maleje bowiem kreatywność, a rośnie awersja do ryzyka, a są to immanentne cechy działań przedsiębiorczych. </w:t>
      </w:r>
      <w:r w:rsidR="00B51789">
        <w:rPr>
          <w:rFonts w:ascii="Times New Roman" w:hAnsi="Times New Roman" w:cs="Times New Roman"/>
          <w:sz w:val="24"/>
          <w:szCs w:val="24"/>
          <w:lang w:val="pl-PL"/>
        </w:rPr>
        <w:t xml:space="preserve">Zmiany demograficzne, których doświadczają społeczeństwa europejskie, pozwalają oczekiwać, że tendencje te ulegną zmianie, a wręcz są oczekiwane, co już uwidacznia się w programach wsparcia oferowanych na szczeblu Unii Europejskiej. </w:t>
      </w:r>
      <w:r w:rsidR="00BC1F69">
        <w:rPr>
          <w:rFonts w:ascii="Times New Roman" w:hAnsi="Times New Roman" w:cs="Times New Roman"/>
          <w:sz w:val="24"/>
          <w:szCs w:val="24"/>
          <w:lang w:val="pl-PL"/>
        </w:rPr>
        <w:t>Starzejące się społeczeństwo wymusi większą aktywność zawodową seniorów</w:t>
      </w:r>
      <w:r w:rsidR="00BC1F69" w:rsidRPr="00BC1F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C1F69" w:rsidRPr="00BC1F69">
        <w:rPr>
          <w:rFonts w:ascii="Times New Roman" w:hAnsi="Times New Roman" w:cs="Times New Roman"/>
          <w:sz w:val="24"/>
          <w:szCs w:val="24"/>
        </w:rPr>
        <w:t xml:space="preserve">(Curran </w:t>
      </w:r>
      <w:r w:rsidR="00BC1F69">
        <w:rPr>
          <w:rFonts w:ascii="Times New Roman" w:hAnsi="Times New Roman" w:cs="Times New Roman"/>
          <w:sz w:val="24"/>
          <w:szCs w:val="24"/>
        </w:rPr>
        <w:t xml:space="preserve">&amp; </w:t>
      </w:r>
      <w:r w:rsidR="00BC1F69" w:rsidRPr="00BC1F69">
        <w:rPr>
          <w:rFonts w:ascii="Times New Roman" w:hAnsi="Times New Roman" w:cs="Times New Roman"/>
          <w:sz w:val="24"/>
          <w:szCs w:val="24"/>
        </w:rPr>
        <w:t>Blackburn, 2001</w:t>
      </w:r>
      <w:r w:rsidR="00BC1F69">
        <w:rPr>
          <w:rFonts w:ascii="Times New Roman" w:hAnsi="Times New Roman" w:cs="Times New Roman"/>
          <w:sz w:val="24"/>
          <w:szCs w:val="24"/>
        </w:rPr>
        <w:t xml:space="preserve">; Kautonen, 2013), a </w:t>
      </w:r>
      <w:proofErr w:type="spellStart"/>
      <w:r w:rsidR="00BC1F69">
        <w:rPr>
          <w:rFonts w:ascii="Times New Roman" w:hAnsi="Times New Roman" w:cs="Times New Roman"/>
          <w:sz w:val="24"/>
          <w:szCs w:val="24"/>
        </w:rPr>
        <w:t>zadziałają</w:t>
      </w:r>
      <w:proofErr w:type="spellEnd"/>
      <w:r w:rsidR="00BC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F69">
        <w:rPr>
          <w:rFonts w:ascii="Times New Roman" w:hAnsi="Times New Roman" w:cs="Times New Roman"/>
          <w:sz w:val="24"/>
          <w:szCs w:val="24"/>
        </w:rPr>
        <w:t>tutaj</w:t>
      </w:r>
      <w:proofErr w:type="spellEnd"/>
      <w:r w:rsidR="00BC1F69">
        <w:rPr>
          <w:rFonts w:ascii="Times New Roman" w:hAnsi="Times New Roman" w:cs="Times New Roman"/>
          <w:sz w:val="24"/>
          <w:szCs w:val="24"/>
        </w:rPr>
        <w:t xml:space="preserve"> </w:t>
      </w:r>
      <w:r w:rsidR="00B5178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C1F69">
        <w:rPr>
          <w:rFonts w:ascii="Times New Roman" w:hAnsi="Times New Roman" w:cs="Times New Roman"/>
          <w:sz w:val="24"/>
          <w:szCs w:val="24"/>
          <w:lang w:val="pl-PL"/>
        </w:rPr>
        <w:t>zarówno czynniki pozytywne (</w:t>
      </w:r>
      <w:proofErr w:type="spellStart"/>
      <w:r w:rsidR="00BC1F69" w:rsidRPr="00BC1F69">
        <w:rPr>
          <w:rFonts w:ascii="Times New Roman" w:hAnsi="Times New Roman" w:cs="Times New Roman"/>
          <w:i/>
          <w:sz w:val="24"/>
          <w:szCs w:val="24"/>
          <w:lang w:val="pl-PL"/>
        </w:rPr>
        <w:t>pull</w:t>
      </w:r>
      <w:proofErr w:type="spellEnd"/>
      <w:r w:rsidR="00BC1F69">
        <w:rPr>
          <w:rFonts w:ascii="Times New Roman" w:hAnsi="Times New Roman" w:cs="Times New Roman"/>
          <w:sz w:val="24"/>
          <w:szCs w:val="24"/>
          <w:lang w:val="pl-PL"/>
        </w:rPr>
        <w:t>), których rezultatem będzie dobrowolna przedsiębiorczość (</w:t>
      </w:r>
      <w:proofErr w:type="spellStart"/>
      <w:r w:rsidR="00BC1F69" w:rsidRPr="00BC1F69">
        <w:rPr>
          <w:rFonts w:ascii="Times New Roman" w:hAnsi="Times New Roman" w:cs="Times New Roman"/>
          <w:i/>
          <w:sz w:val="24"/>
          <w:szCs w:val="24"/>
          <w:lang w:val="pl-PL"/>
        </w:rPr>
        <w:t>opportinity-based</w:t>
      </w:r>
      <w:proofErr w:type="spellEnd"/>
      <w:r w:rsidR="00BC1F69" w:rsidRPr="00BC1F6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BC1F69" w:rsidRPr="00BC1F69">
        <w:rPr>
          <w:rFonts w:ascii="Times New Roman" w:hAnsi="Times New Roman" w:cs="Times New Roman"/>
          <w:i/>
          <w:sz w:val="24"/>
          <w:szCs w:val="24"/>
          <w:lang w:val="pl-PL"/>
        </w:rPr>
        <w:t>entrepreneurship</w:t>
      </w:r>
      <w:proofErr w:type="spellEnd"/>
      <w:r w:rsidR="00BC1F69">
        <w:rPr>
          <w:rFonts w:ascii="Times New Roman" w:hAnsi="Times New Roman" w:cs="Times New Roman"/>
          <w:sz w:val="24"/>
          <w:szCs w:val="24"/>
          <w:lang w:val="pl-PL"/>
        </w:rPr>
        <w:t>) jako poszukiwanie niezależności i realizacji swoich aspiracji przez osoby w wieku 50+, jak i czynniki negatywne (</w:t>
      </w:r>
      <w:proofErr w:type="spellStart"/>
      <w:r w:rsidR="00BC1F69" w:rsidRPr="00BC1F69">
        <w:rPr>
          <w:rFonts w:ascii="Times New Roman" w:hAnsi="Times New Roman" w:cs="Times New Roman"/>
          <w:i/>
          <w:sz w:val="24"/>
          <w:szCs w:val="24"/>
          <w:lang w:val="pl-PL"/>
        </w:rPr>
        <w:t>push</w:t>
      </w:r>
      <w:proofErr w:type="spellEnd"/>
      <w:r w:rsidR="0022449E">
        <w:rPr>
          <w:rFonts w:ascii="Times New Roman" w:hAnsi="Times New Roman" w:cs="Times New Roman"/>
          <w:sz w:val="24"/>
          <w:szCs w:val="24"/>
          <w:lang w:val="pl-PL"/>
        </w:rPr>
        <w:t>) głó</w:t>
      </w:r>
      <w:r w:rsidR="00BC1F69">
        <w:rPr>
          <w:rFonts w:ascii="Times New Roman" w:hAnsi="Times New Roman" w:cs="Times New Roman"/>
          <w:sz w:val="24"/>
          <w:szCs w:val="24"/>
          <w:lang w:val="pl-PL"/>
        </w:rPr>
        <w:t>wnie ze względu na niekorzystną sytuację na rynku pracy, która skutkować będzie przedsiębiorczością wymuszoną (</w:t>
      </w:r>
      <w:proofErr w:type="spellStart"/>
      <w:r w:rsidR="00BC1F69" w:rsidRPr="00BC1F69">
        <w:rPr>
          <w:rFonts w:ascii="Times New Roman" w:hAnsi="Times New Roman" w:cs="Times New Roman"/>
          <w:i/>
          <w:sz w:val="24"/>
          <w:szCs w:val="24"/>
          <w:lang w:val="pl-PL"/>
        </w:rPr>
        <w:t>neccessity-based</w:t>
      </w:r>
      <w:proofErr w:type="spellEnd"/>
      <w:r w:rsidR="00BC1F69" w:rsidRPr="00BC1F6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BC1F69" w:rsidRPr="00BC1F69">
        <w:rPr>
          <w:rFonts w:ascii="Times New Roman" w:hAnsi="Times New Roman" w:cs="Times New Roman"/>
          <w:i/>
          <w:sz w:val="24"/>
          <w:szCs w:val="24"/>
          <w:lang w:val="pl-PL"/>
        </w:rPr>
        <w:t>entrepreneurship</w:t>
      </w:r>
      <w:proofErr w:type="spellEnd"/>
      <w:r w:rsidR="00BC1F69">
        <w:rPr>
          <w:rFonts w:ascii="Times New Roman" w:hAnsi="Times New Roman" w:cs="Times New Roman"/>
          <w:sz w:val="24"/>
          <w:szCs w:val="24"/>
          <w:lang w:val="pl-PL"/>
        </w:rPr>
        <w:t xml:space="preserve">). </w:t>
      </w:r>
    </w:p>
    <w:p w:rsidR="007D43E3" w:rsidRDefault="00EE33EE" w:rsidP="00EE33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Jak każde studium naukowe, również i ten artykuł ma swoje ograniczenia badawcze. Nie dokonano pełnej kwerendy zagadnienia przedsiębiorczości seniorów, a wybrano jedynie typowe, dość często cytowane w literaturze przedmiotu pozycje z tego zakresu. Wyniki w nich zawarte są jednak reprezentatywne, co sprawia, że syntetyczny przegląd zaprezentowany w tym artykule można uznać za wstępną syntezę tematyki, najważniejszych wątków badawczych i wyników analiz empirycznych w podjętym temacie. </w:t>
      </w:r>
    </w:p>
    <w:p w:rsidR="0052353C" w:rsidRDefault="0052353C" w:rsidP="00EE33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 całą pewnością można stwierdzić, że przedsiębiorczość seniorów jako wątek badawczy dynamicznie się rozwija, z roku na rok prowadzone są nowe badania, których wyniki są publikowane. Warto prowadzić dalszy monitoring tego zagadnienia w celu uchwycenia zmian społecznych w starzejącej się Europie. </w:t>
      </w:r>
      <w:r w:rsidR="00BD66B3">
        <w:rPr>
          <w:rFonts w:ascii="Times New Roman" w:hAnsi="Times New Roman" w:cs="Times New Roman"/>
          <w:sz w:val="24"/>
          <w:szCs w:val="24"/>
          <w:lang w:val="pl-PL"/>
        </w:rPr>
        <w:t>Kolejne badania powinny uwzględniać szerszą bazę analizowanych prac, obejmować większe spektrum geograficzne analiz, a w szczególności warto podjąć zakrojone na szeroką skalę stałe i powtarzalne badania w tym temacie w Polsce, aby móc zaobserwować zmiany zachodzące w polski</w:t>
      </w:r>
      <w:r w:rsidR="00E82268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BD66B3">
        <w:rPr>
          <w:rFonts w:ascii="Times New Roman" w:hAnsi="Times New Roman" w:cs="Times New Roman"/>
          <w:sz w:val="24"/>
          <w:szCs w:val="24"/>
          <w:lang w:val="pl-PL"/>
        </w:rPr>
        <w:t xml:space="preserve"> społeczeństwie, które z pewnością będą zauważalne za kilkanaście lat, warto jest więc wykorzystać w tym zakresie wzorce krajów, które już borykają się z tym problemem. </w:t>
      </w:r>
    </w:p>
    <w:p w:rsidR="00A25897" w:rsidRDefault="00A25897" w:rsidP="00F403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5E07BB" w:rsidRPr="00A25897" w:rsidRDefault="005E07BB" w:rsidP="00F403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E32861" w:rsidRPr="00BF237F" w:rsidRDefault="00BF237F" w:rsidP="009962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F237F">
        <w:rPr>
          <w:rFonts w:ascii="Times New Roman" w:hAnsi="Times New Roman" w:cs="Times New Roman"/>
          <w:b/>
          <w:sz w:val="24"/>
          <w:szCs w:val="24"/>
          <w:lang w:val="pl-PL"/>
        </w:rPr>
        <w:t>Bibliografia</w:t>
      </w:r>
    </w:p>
    <w:p w:rsidR="00E97559" w:rsidRPr="002B7857" w:rsidRDefault="00E97559" w:rsidP="007D09CB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9962B7">
        <w:rPr>
          <w:rFonts w:ascii="Times New Roman" w:hAnsi="Times New Roman" w:cs="Times New Roman"/>
        </w:rPr>
        <w:t>Ajzen</w:t>
      </w:r>
      <w:proofErr w:type="spellEnd"/>
      <w:r w:rsidRPr="009962B7">
        <w:rPr>
          <w:rFonts w:ascii="Times New Roman" w:hAnsi="Times New Roman" w:cs="Times New Roman"/>
        </w:rPr>
        <w:t>, I. (1988</w:t>
      </w:r>
      <w:r w:rsidRPr="002B7857">
        <w:rPr>
          <w:rFonts w:ascii="Times New Roman" w:hAnsi="Times New Roman" w:cs="Times New Roman"/>
        </w:rPr>
        <w:t xml:space="preserve">). </w:t>
      </w:r>
      <w:r w:rsidRPr="002B7857">
        <w:rPr>
          <w:rFonts w:ascii="Times New Roman" w:hAnsi="Times New Roman" w:cs="Times New Roman"/>
          <w:i/>
        </w:rPr>
        <w:t xml:space="preserve">Attitudes, personality, and </w:t>
      </w:r>
      <w:proofErr w:type="spellStart"/>
      <w:r w:rsidRPr="002B7857">
        <w:rPr>
          <w:rFonts w:ascii="Times New Roman" w:hAnsi="Times New Roman" w:cs="Times New Roman"/>
          <w:i/>
        </w:rPr>
        <w:t>behavior</w:t>
      </w:r>
      <w:proofErr w:type="spellEnd"/>
      <w:r w:rsidRPr="002B7857">
        <w:rPr>
          <w:rFonts w:ascii="Times New Roman" w:hAnsi="Times New Roman" w:cs="Times New Roman"/>
        </w:rPr>
        <w:t>. Chicago: Dorsey Press.</w:t>
      </w:r>
    </w:p>
    <w:p w:rsidR="00E97559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2B7857">
        <w:rPr>
          <w:rFonts w:ascii="Times New Roman" w:hAnsi="Times New Roman" w:cs="Times New Roman"/>
        </w:rPr>
        <w:t>Ajzen</w:t>
      </w:r>
      <w:proofErr w:type="spellEnd"/>
      <w:r w:rsidRPr="002B7857">
        <w:rPr>
          <w:rFonts w:ascii="Times New Roman" w:hAnsi="Times New Roman" w:cs="Times New Roman"/>
        </w:rPr>
        <w:t xml:space="preserve">, I. (1991). The theory of planned </w:t>
      </w:r>
      <w:proofErr w:type="spellStart"/>
      <w:r w:rsidRPr="002B7857">
        <w:rPr>
          <w:rFonts w:ascii="Times New Roman" w:hAnsi="Times New Roman" w:cs="Times New Roman"/>
        </w:rPr>
        <w:t>behavior</w:t>
      </w:r>
      <w:proofErr w:type="spellEnd"/>
      <w:r w:rsidRPr="002B7857">
        <w:rPr>
          <w:rFonts w:ascii="Times New Roman" w:hAnsi="Times New Roman" w:cs="Times New Roman"/>
        </w:rPr>
        <w:t xml:space="preserve">. </w:t>
      </w:r>
      <w:r w:rsidRPr="002B7857">
        <w:rPr>
          <w:rFonts w:ascii="Times New Roman" w:hAnsi="Times New Roman" w:cs="Times New Roman"/>
          <w:i/>
        </w:rPr>
        <w:t xml:space="preserve">Organizational </w:t>
      </w:r>
      <w:proofErr w:type="spellStart"/>
      <w:r w:rsidRPr="002B7857">
        <w:rPr>
          <w:rFonts w:ascii="Times New Roman" w:hAnsi="Times New Roman" w:cs="Times New Roman"/>
          <w:i/>
        </w:rPr>
        <w:t>Behavior</w:t>
      </w:r>
      <w:proofErr w:type="spellEnd"/>
      <w:r w:rsidRPr="002B7857">
        <w:rPr>
          <w:rFonts w:ascii="Times New Roman" w:hAnsi="Times New Roman" w:cs="Times New Roman"/>
          <w:i/>
        </w:rPr>
        <w:t xml:space="preserve"> and Human Decision Processes</w:t>
      </w:r>
      <w:r w:rsidRPr="002B7857">
        <w:rPr>
          <w:rFonts w:ascii="Times New Roman" w:hAnsi="Times New Roman" w:cs="Times New Roman"/>
        </w:rPr>
        <w:t xml:space="preserve">, </w:t>
      </w:r>
      <w:r w:rsidRPr="002B7857">
        <w:rPr>
          <w:rFonts w:ascii="Times New Roman" w:hAnsi="Times New Roman" w:cs="Times New Roman"/>
          <w:i/>
        </w:rPr>
        <w:t>50</w:t>
      </w:r>
      <w:r w:rsidRPr="002B7857">
        <w:rPr>
          <w:rFonts w:ascii="Times New Roman" w:hAnsi="Times New Roman" w:cs="Times New Roman"/>
        </w:rPr>
        <w:t>(2): 179–211</w:t>
      </w:r>
      <w:r w:rsidR="003C25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C2568">
        <w:rPr>
          <w:rFonts w:ascii="Times New Roman" w:hAnsi="Times New Roman" w:cs="Times New Roman"/>
        </w:rPr>
        <w:t>doi</w:t>
      </w:r>
      <w:proofErr w:type="spellEnd"/>
      <w:r w:rsidR="003C256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D2816">
        <w:rPr>
          <w:rFonts w:ascii="Times New Roman" w:hAnsi="Times New Roman" w:cs="Times New Roman"/>
        </w:rPr>
        <w:t>10.1016/0749-5978(91)90020</w:t>
      </w:r>
    </w:p>
    <w:p w:rsidR="003C2568" w:rsidRPr="003C2568" w:rsidRDefault="003C2568" w:rsidP="003C2568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3C2568">
        <w:rPr>
          <w:rFonts w:ascii="Times New Roman" w:hAnsi="Times New Roman" w:cs="Times New Roman"/>
        </w:rPr>
        <w:t>Akanni</w:t>
      </w:r>
      <w:proofErr w:type="spellEnd"/>
      <w:r w:rsidRPr="003C2568">
        <w:rPr>
          <w:rFonts w:ascii="Times New Roman" w:hAnsi="Times New Roman" w:cs="Times New Roman"/>
        </w:rPr>
        <w:t>, M</w:t>
      </w:r>
      <w:r>
        <w:rPr>
          <w:rFonts w:ascii="Times New Roman" w:hAnsi="Times New Roman" w:cs="Times New Roman"/>
        </w:rPr>
        <w:t>.</w:t>
      </w:r>
      <w:r w:rsidRPr="003C256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., &amp;</w:t>
      </w:r>
      <w:r w:rsidRPr="003C2568">
        <w:rPr>
          <w:rFonts w:ascii="Times New Roman" w:hAnsi="Times New Roman" w:cs="Times New Roman"/>
        </w:rPr>
        <w:t xml:space="preserve"> </w:t>
      </w:r>
      <w:proofErr w:type="spellStart"/>
      <w:r w:rsidRPr="003C2568">
        <w:rPr>
          <w:rFonts w:ascii="Times New Roman" w:hAnsi="Times New Roman" w:cs="Times New Roman"/>
        </w:rPr>
        <w:t>Čepar</w:t>
      </w:r>
      <w:proofErr w:type="spellEnd"/>
      <w:r w:rsidRPr="003C2568">
        <w:rPr>
          <w:rFonts w:ascii="Times New Roman" w:hAnsi="Times New Roman" w:cs="Times New Roman"/>
        </w:rPr>
        <w:t>, Ž</w:t>
      </w:r>
      <w:r>
        <w:rPr>
          <w:rFonts w:ascii="Times New Roman" w:hAnsi="Times New Roman" w:cs="Times New Roman"/>
        </w:rPr>
        <w:t xml:space="preserve">. (2015). </w:t>
      </w:r>
      <w:r w:rsidRPr="003C2568">
        <w:rPr>
          <w:rFonts w:ascii="Times New Roman" w:hAnsi="Times New Roman" w:cs="Times New Roman"/>
        </w:rPr>
        <w:t>Impact of Population Ageing on Unemployment and Entrepreneurial Activity: the Case of Slovenia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Organizacija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48(4), 232-245.</w:t>
      </w:r>
    </w:p>
    <w:p w:rsidR="00E97559" w:rsidRPr="002B7857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B7857">
        <w:rPr>
          <w:rFonts w:ascii="Times New Roman" w:hAnsi="Times New Roman" w:cs="Times New Roman"/>
        </w:rPr>
        <w:t xml:space="preserve">Baron, R.A., &amp; Ensley, M.D. (2006). Opportunity Recognition as the Detection of Meaningful Patterns: Evidence from Comparisons of Novice and Experienced Entrepreneurs. </w:t>
      </w:r>
      <w:r w:rsidRPr="002B7857">
        <w:rPr>
          <w:rFonts w:ascii="Times New Roman" w:hAnsi="Times New Roman" w:cs="Times New Roman"/>
          <w:i/>
        </w:rPr>
        <w:t>Management Science</w:t>
      </w:r>
      <w:r w:rsidRPr="002B7857">
        <w:rPr>
          <w:rFonts w:ascii="Times New Roman" w:hAnsi="Times New Roman" w:cs="Times New Roman"/>
        </w:rPr>
        <w:t xml:space="preserve">, </w:t>
      </w:r>
      <w:r w:rsidRPr="002B7857">
        <w:rPr>
          <w:rFonts w:ascii="Times New Roman" w:hAnsi="Times New Roman" w:cs="Times New Roman"/>
          <w:i/>
        </w:rPr>
        <w:t>52</w:t>
      </w:r>
      <w:r w:rsidRPr="002B7857">
        <w:rPr>
          <w:rFonts w:ascii="Times New Roman" w:hAnsi="Times New Roman" w:cs="Times New Roman"/>
        </w:rPr>
        <w:t xml:space="preserve">(9): 1331-1344. </w:t>
      </w:r>
    </w:p>
    <w:p w:rsidR="005168C3" w:rsidRDefault="005168C3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168C3">
        <w:rPr>
          <w:rFonts w:ascii="Times New Roman" w:hAnsi="Times New Roman" w:cs="Times New Roman"/>
          <w:color w:val="000000" w:themeColor="text1"/>
        </w:rPr>
        <w:t>Chaganti</w:t>
      </w:r>
      <w:proofErr w:type="spellEnd"/>
      <w:r w:rsidRPr="005168C3">
        <w:rPr>
          <w:rFonts w:ascii="Times New Roman" w:hAnsi="Times New Roman" w:cs="Times New Roman"/>
          <w:color w:val="000000" w:themeColor="text1"/>
        </w:rPr>
        <w:t xml:space="preserve">, R., &amp; Greene, P. G. (2002). Who are ethnic entrepreneurs? A study of entrepreneurs' ethnic involvement and business characteristics. </w:t>
      </w:r>
      <w:r w:rsidRPr="005168C3">
        <w:rPr>
          <w:rFonts w:ascii="Times New Roman" w:hAnsi="Times New Roman" w:cs="Times New Roman"/>
          <w:i/>
          <w:color w:val="000000" w:themeColor="text1"/>
        </w:rPr>
        <w:t>Journal of Small Business Management</w:t>
      </w:r>
      <w:r w:rsidRPr="005168C3">
        <w:rPr>
          <w:rFonts w:ascii="Times New Roman" w:hAnsi="Times New Roman" w:cs="Times New Roman"/>
          <w:color w:val="000000" w:themeColor="text1"/>
        </w:rPr>
        <w:t>, 40(2), 126.</w:t>
      </w:r>
    </w:p>
    <w:p w:rsidR="002F7989" w:rsidRPr="00C008FC" w:rsidRDefault="002F798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F7989">
        <w:rPr>
          <w:rFonts w:ascii="Times New Roman" w:hAnsi="Times New Roman" w:cs="Times New Roman"/>
          <w:color w:val="000000" w:themeColor="text1"/>
          <w:lang w:val="en-US"/>
        </w:rPr>
        <w:t>Curran, J.</w:t>
      </w:r>
      <w:r>
        <w:rPr>
          <w:rFonts w:ascii="Times New Roman" w:hAnsi="Times New Roman" w:cs="Times New Roman"/>
          <w:color w:val="000000" w:themeColor="text1"/>
          <w:lang w:val="en-US"/>
        </w:rPr>
        <w:t>, &amp;</w:t>
      </w:r>
      <w:r w:rsidRPr="002F7989">
        <w:rPr>
          <w:rFonts w:ascii="Times New Roman" w:hAnsi="Times New Roman" w:cs="Times New Roman"/>
          <w:color w:val="000000" w:themeColor="text1"/>
          <w:lang w:val="en-US"/>
        </w:rPr>
        <w:t xml:space="preserve"> Blackburn</w:t>
      </w:r>
      <w:r>
        <w:rPr>
          <w:rFonts w:ascii="Times New Roman" w:hAnsi="Times New Roman" w:cs="Times New Roman"/>
          <w:color w:val="000000" w:themeColor="text1"/>
          <w:lang w:val="en-US"/>
        </w:rPr>
        <w:t>, R.</w:t>
      </w:r>
      <w:r w:rsidRPr="002F7989">
        <w:rPr>
          <w:rFonts w:ascii="Times New Roman" w:hAnsi="Times New Roman" w:cs="Times New Roman"/>
          <w:color w:val="000000" w:themeColor="text1"/>
          <w:lang w:val="en-US"/>
        </w:rPr>
        <w:t xml:space="preserve"> (2001)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F7989">
        <w:rPr>
          <w:rFonts w:ascii="Times New Roman" w:hAnsi="Times New Roman" w:cs="Times New Roman"/>
          <w:color w:val="000000" w:themeColor="text1"/>
          <w:lang w:val="en-US"/>
        </w:rPr>
        <w:t xml:space="preserve"> Older people and the enterprise society: age and self-employment propensities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F798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F7989">
        <w:rPr>
          <w:rFonts w:ascii="Times New Roman" w:hAnsi="Times New Roman" w:cs="Times New Roman"/>
          <w:i/>
          <w:color w:val="000000" w:themeColor="text1"/>
          <w:lang w:val="en-US"/>
        </w:rPr>
        <w:t>Work, Employment and Society</w:t>
      </w:r>
      <w:r w:rsidRPr="002F7989">
        <w:rPr>
          <w:rFonts w:ascii="Times New Roman" w:hAnsi="Times New Roman" w:cs="Times New Roman"/>
          <w:color w:val="000000" w:themeColor="text1"/>
          <w:lang w:val="en-US"/>
        </w:rPr>
        <w:t>, 15</w:t>
      </w:r>
      <w:r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2F7989">
        <w:rPr>
          <w:rFonts w:ascii="Times New Roman" w:hAnsi="Times New Roman" w:cs="Times New Roman"/>
          <w:color w:val="000000" w:themeColor="text1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2F7989">
        <w:rPr>
          <w:rFonts w:ascii="Times New Roman" w:hAnsi="Times New Roman" w:cs="Times New Roman"/>
          <w:color w:val="000000" w:themeColor="text1"/>
          <w:lang w:val="en-US"/>
        </w:rPr>
        <w:t>, 889-902.</w:t>
      </w:r>
    </w:p>
    <w:p w:rsidR="00005BA3" w:rsidRDefault="00005BA3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005BA3">
        <w:rPr>
          <w:rFonts w:ascii="Times New Roman" w:hAnsi="Times New Roman" w:cs="Times New Roman"/>
        </w:rPr>
        <w:t>Geldhof</w:t>
      </w:r>
      <w:proofErr w:type="spellEnd"/>
      <w:r w:rsidRPr="00005BA3">
        <w:rPr>
          <w:rFonts w:ascii="Times New Roman" w:hAnsi="Times New Roman" w:cs="Times New Roman"/>
        </w:rPr>
        <w:t xml:space="preserve">, G. J., Porter, T., Weiner, M. B., </w:t>
      </w:r>
      <w:proofErr w:type="spellStart"/>
      <w:r w:rsidRPr="00005BA3">
        <w:rPr>
          <w:rFonts w:ascii="Times New Roman" w:hAnsi="Times New Roman" w:cs="Times New Roman"/>
        </w:rPr>
        <w:t>Malin</w:t>
      </w:r>
      <w:proofErr w:type="spellEnd"/>
      <w:r w:rsidRPr="00005BA3">
        <w:rPr>
          <w:rFonts w:ascii="Times New Roman" w:hAnsi="Times New Roman" w:cs="Times New Roman"/>
        </w:rPr>
        <w:t xml:space="preserve">, H., </w:t>
      </w:r>
      <w:proofErr w:type="spellStart"/>
      <w:r w:rsidRPr="00005BA3">
        <w:rPr>
          <w:rFonts w:ascii="Times New Roman" w:hAnsi="Times New Roman" w:cs="Times New Roman"/>
        </w:rPr>
        <w:t>Bronk</w:t>
      </w:r>
      <w:proofErr w:type="spellEnd"/>
      <w:r w:rsidRPr="00005BA3">
        <w:rPr>
          <w:rFonts w:ascii="Times New Roman" w:hAnsi="Times New Roman" w:cs="Times New Roman"/>
        </w:rPr>
        <w:t xml:space="preserve">, K. C., </w:t>
      </w:r>
      <w:proofErr w:type="spellStart"/>
      <w:r w:rsidRPr="00005BA3">
        <w:rPr>
          <w:rFonts w:ascii="Times New Roman" w:hAnsi="Times New Roman" w:cs="Times New Roman"/>
        </w:rPr>
        <w:t>Agans</w:t>
      </w:r>
      <w:proofErr w:type="spellEnd"/>
      <w:r w:rsidRPr="00005BA3">
        <w:rPr>
          <w:rFonts w:ascii="Times New Roman" w:hAnsi="Times New Roman" w:cs="Times New Roman"/>
        </w:rPr>
        <w:t xml:space="preserve">, J. P., ... &amp; Lerner, R. M. (2014). Fostering youth entrepreneurship: Preliminary findings from the young entrepreneurs study. </w:t>
      </w:r>
      <w:r w:rsidRPr="00005BA3">
        <w:rPr>
          <w:rFonts w:ascii="Times New Roman" w:hAnsi="Times New Roman" w:cs="Times New Roman"/>
          <w:i/>
        </w:rPr>
        <w:t>Journal of Research on Adolescence</w:t>
      </w:r>
      <w:r w:rsidRPr="00005BA3">
        <w:rPr>
          <w:rFonts w:ascii="Times New Roman" w:hAnsi="Times New Roman" w:cs="Times New Roman"/>
        </w:rPr>
        <w:t>, 24(3), 431-446.</w:t>
      </w:r>
    </w:p>
    <w:p w:rsidR="005564AC" w:rsidRPr="00B71C2B" w:rsidRDefault="005564AC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1C2B">
        <w:rPr>
          <w:rFonts w:ascii="Times New Roman" w:hAnsi="Times New Roman" w:cs="Times New Roman"/>
          <w:sz w:val="24"/>
          <w:szCs w:val="24"/>
        </w:rPr>
        <w:t xml:space="preserve">Glinka, B., &amp; Brzozowska, A. (2015). Immigrant Entrepreneurs: in Search of Identity. </w:t>
      </w:r>
      <w:r w:rsidR="002C7344" w:rsidRPr="00B71C2B">
        <w:rPr>
          <w:rFonts w:ascii="Times New Roman" w:hAnsi="Times New Roman" w:cs="Times New Roman"/>
          <w:i/>
          <w:sz w:val="24"/>
          <w:szCs w:val="24"/>
        </w:rPr>
        <w:t>Entrepreneuri</w:t>
      </w:r>
      <w:r w:rsidRPr="00B71C2B">
        <w:rPr>
          <w:rFonts w:ascii="Times New Roman" w:hAnsi="Times New Roman" w:cs="Times New Roman"/>
          <w:i/>
          <w:sz w:val="24"/>
          <w:szCs w:val="24"/>
        </w:rPr>
        <w:t>al Business and Economics Review</w:t>
      </w:r>
      <w:r w:rsidRPr="00B71C2B">
        <w:rPr>
          <w:rFonts w:ascii="Times New Roman" w:hAnsi="Times New Roman" w:cs="Times New Roman"/>
          <w:sz w:val="24"/>
          <w:szCs w:val="24"/>
        </w:rPr>
        <w:t xml:space="preserve">, 3(4), 53-78. </w:t>
      </w:r>
      <w:proofErr w:type="spellStart"/>
      <w:r w:rsidRPr="00B71C2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B71C2B">
        <w:rPr>
          <w:rFonts w:ascii="Times New Roman" w:hAnsi="Times New Roman" w:cs="Times New Roman"/>
          <w:sz w:val="24"/>
          <w:szCs w:val="24"/>
        </w:rPr>
        <w:t>: 10.15678/EBER.2015.030304</w:t>
      </w:r>
    </w:p>
    <w:p w:rsidR="00423D5B" w:rsidRDefault="00423D5B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23D5B">
        <w:rPr>
          <w:rFonts w:ascii="Times New Roman" w:hAnsi="Times New Roman" w:cs="Times New Roman"/>
        </w:rPr>
        <w:t xml:space="preserve">Hart, M., </w:t>
      </w:r>
      <w:proofErr w:type="spellStart"/>
      <w:r w:rsidRPr="00423D5B">
        <w:rPr>
          <w:rFonts w:ascii="Times New Roman" w:hAnsi="Times New Roman" w:cs="Times New Roman"/>
        </w:rPr>
        <w:t>Anyadike</w:t>
      </w:r>
      <w:proofErr w:type="spellEnd"/>
      <w:r w:rsidRPr="00423D5B">
        <w:rPr>
          <w:rFonts w:ascii="Times New Roman" w:hAnsi="Times New Roman" w:cs="Times New Roman"/>
        </w:rPr>
        <w:t>-Danes</w:t>
      </w:r>
      <w:r>
        <w:rPr>
          <w:rFonts w:ascii="Times New Roman" w:hAnsi="Times New Roman" w:cs="Times New Roman"/>
        </w:rPr>
        <w:t>, M., &amp;</w:t>
      </w:r>
      <w:r w:rsidRPr="00423D5B">
        <w:rPr>
          <w:rFonts w:ascii="Times New Roman" w:hAnsi="Times New Roman" w:cs="Times New Roman"/>
        </w:rPr>
        <w:t xml:space="preserve"> Blackburn</w:t>
      </w:r>
      <w:r>
        <w:rPr>
          <w:rFonts w:ascii="Times New Roman" w:hAnsi="Times New Roman" w:cs="Times New Roman"/>
        </w:rPr>
        <w:t xml:space="preserve">, </w:t>
      </w:r>
      <w:r w:rsidRPr="00423D5B">
        <w:rPr>
          <w:rFonts w:ascii="Times New Roman" w:hAnsi="Times New Roman" w:cs="Times New Roman"/>
        </w:rPr>
        <w:t>R.A. (2004)</w:t>
      </w:r>
      <w:r>
        <w:rPr>
          <w:rFonts w:ascii="Times New Roman" w:hAnsi="Times New Roman" w:cs="Times New Roman"/>
        </w:rPr>
        <w:t>.</w:t>
      </w:r>
      <w:r w:rsidRPr="00423D5B">
        <w:rPr>
          <w:rFonts w:ascii="Times New Roman" w:hAnsi="Times New Roman" w:cs="Times New Roman"/>
        </w:rPr>
        <w:t xml:space="preserve"> </w:t>
      </w:r>
      <w:r w:rsidRPr="00423D5B">
        <w:rPr>
          <w:rFonts w:ascii="Times New Roman" w:hAnsi="Times New Roman" w:cs="Times New Roman"/>
          <w:i/>
        </w:rPr>
        <w:t>Entrepreneurship and age in the UK: comparing Third Age and Prime Age new venture creation across the regions</w:t>
      </w:r>
      <w:r>
        <w:rPr>
          <w:rFonts w:ascii="Times New Roman" w:hAnsi="Times New Roman" w:cs="Times New Roman"/>
          <w:i/>
        </w:rPr>
        <w:t>.</w:t>
      </w:r>
      <w:r w:rsidRPr="00423D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423D5B">
        <w:rPr>
          <w:rFonts w:ascii="Times New Roman" w:hAnsi="Times New Roman" w:cs="Times New Roman"/>
        </w:rPr>
        <w:t xml:space="preserve">aper presented </w:t>
      </w:r>
      <w:r>
        <w:rPr>
          <w:rFonts w:ascii="Times New Roman" w:hAnsi="Times New Roman" w:cs="Times New Roman"/>
        </w:rPr>
        <w:t xml:space="preserve">at the </w:t>
      </w:r>
      <w:r w:rsidRPr="00423D5B">
        <w:rPr>
          <w:rFonts w:ascii="Times New Roman" w:hAnsi="Times New Roman" w:cs="Times New Roman"/>
        </w:rPr>
        <w:t>RENT XVIII</w:t>
      </w:r>
      <w:r>
        <w:rPr>
          <w:rFonts w:ascii="Times New Roman" w:hAnsi="Times New Roman" w:cs="Times New Roman"/>
        </w:rPr>
        <w:t xml:space="preserve"> Conference</w:t>
      </w:r>
      <w:r w:rsidRPr="00423D5B">
        <w:rPr>
          <w:rFonts w:ascii="Times New Roman" w:hAnsi="Times New Roman" w:cs="Times New Roman"/>
        </w:rPr>
        <w:t>, Copenhagen, November</w:t>
      </w:r>
      <w:r>
        <w:rPr>
          <w:rFonts w:ascii="Times New Roman" w:hAnsi="Times New Roman" w:cs="Times New Roman"/>
        </w:rPr>
        <w:t xml:space="preserve"> 25-26</w:t>
      </w:r>
      <w:r w:rsidRPr="00423D5B">
        <w:rPr>
          <w:rFonts w:ascii="Times New Roman" w:hAnsi="Times New Roman" w:cs="Times New Roman"/>
        </w:rPr>
        <w:t>.</w:t>
      </w:r>
    </w:p>
    <w:p w:rsidR="00E97559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B7857">
        <w:rPr>
          <w:rFonts w:ascii="Times New Roman" w:hAnsi="Times New Roman" w:cs="Times New Roman"/>
        </w:rPr>
        <w:lastRenderedPageBreak/>
        <w:t xml:space="preserve">Henley, A. (2007). Entrepreneurial aspiration and transition into self-employment: Evidence from British longitudinal data. </w:t>
      </w:r>
      <w:r w:rsidRPr="002B7857">
        <w:rPr>
          <w:rFonts w:ascii="Times New Roman" w:hAnsi="Times New Roman" w:cs="Times New Roman"/>
          <w:i/>
        </w:rPr>
        <w:t>Entrepreneurship and Regional Development</w:t>
      </w:r>
      <w:r w:rsidRPr="002B7857">
        <w:rPr>
          <w:rFonts w:ascii="Times New Roman" w:hAnsi="Times New Roman" w:cs="Times New Roman"/>
        </w:rPr>
        <w:t xml:space="preserve">, </w:t>
      </w:r>
      <w:r w:rsidRPr="002B7857">
        <w:rPr>
          <w:rFonts w:ascii="Times New Roman" w:hAnsi="Times New Roman" w:cs="Times New Roman"/>
          <w:i/>
        </w:rPr>
        <w:t>19</w:t>
      </w:r>
      <w:r w:rsidRPr="002B7857">
        <w:rPr>
          <w:rFonts w:ascii="Times New Roman" w:hAnsi="Times New Roman" w:cs="Times New Roman"/>
        </w:rPr>
        <w:t>(3): 253–280</w:t>
      </w:r>
      <w:r w:rsidR="00E1162B">
        <w:rPr>
          <w:rFonts w:ascii="Times New Roman" w:hAnsi="Times New Roman" w:cs="Times New Roman"/>
        </w:rPr>
        <w:t xml:space="preserve">. </w:t>
      </w:r>
      <w:proofErr w:type="spellStart"/>
      <w:r w:rsidR="00E1162B">
        <w:rPr>
          <w:rFonts w:ascii="Times New Roman" w:hAnsi="Times New Roman" w:cs="Times New Roman"/>
        </w:rPr>
        <w:t>doi</w:t>
      </w:r>
      <w:proofErr w:type="spellEnd"/>
      <w:r w:rsidR="00E1162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DOI </w:t>
      </w:r>
      <w:r w:rsidRPr="007302F2">
        <w:rPr>
          <w:rFonts w:ascii="Times New Roman" w:hAnsi="Times New Roman" w:cs="Times New Roman"/>
        </w:rPr>
        <w:t>10.1016/j.ibusrev.2004.04.004</w:t>
      </w:r>
    </w:p>
    <w:p w:rsidR="00757ED2" w:rsidRPr="002B7857" w:rsidRDefault="00757ED2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57ED2">
        <w:rPr>
          <w:rFonts w:ascii="Times New Roman" w:hAnsi="Times New Roman" w:cs="Times New Roman"/>
        </w:rPr>
        <w:t>Jennings, J.E., Brush, C.G. (2013). Research on Women Entrepreneurs: Challenges to (and from) the Broader Entrepreneurship Literature?</w:t>
      </w:r>
      <w:r>
        <w:rPr>
          <w:rFonts w:ascii="Times New Roman" w:hAnsi="Times New Roman" w:cs="Times New Roman"/>
        </w:rPr>
        <w:t>.</w:t>
      </w:r>
      <w:r w:rsidRPr="00757ED2">
        <w:rPr>
          <w:rFonts w:ascii="Times New Roman" w:hAnsi="Times New Roman" w:cs="Times New Roman"/>
        </w:rPr>
        <w:t xml:space="preserve"> </w:t>
      </w:r>
      <w:r w:rsidRPr="00757ED2">
        <w:rPr>
          <w:rFonts w:ascii="Times New Roman" w:hAnsi="Times New Roman" w:cs="Times New Roman"/>
          <w:i/>
        </w:rPr>
        <w:t>The Academy of Management Annals</w:t>
      </w:r>
      <w:r w:rsidRPr="00757ED2">
        <w:rPr>
          <w:rFonts w:ascii="Times New Roman" w:hAnsi="Times New Roman" w:cs="Times New Roman"/>
        </w:rPr>
        <w:t>, 7</w:t>
      </w:r>
      <w:r>
        <w:rPr>
          <w:rFonts w:ascii="Times New Roman" w:hAnsi="Times New Roman" w:cs="Times New Roman"/>
        </w:rPr>
        <w:t>(</w:t>
      </w:r>
      <w:r w:rsidRPr="00757ED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57ED2">
        <w:rPr>
          <w:rFonts w:ascii="Times New Roman" w:hAnsi="Times New Roman" w:cs="Times New Roman"/>
        </w:rPr>
        <w:t>: 661–713.</w:t>
      </w:r>
    </w:p>
    <w:p w:rsidR="00E97559" w:rsidRPr="00C95EF6" w:rsidRDefault="00E97559" w:rsidP="00812227">
      <w:pPr>
        <w:pStyle w:val="Tekstprzypisudolnego"/>
        <w:spacing w:before="0" w:after="120"/>
        <w:ind w:left="426" w:hanging="426"/>
        <w:jc w:val="both"/>
        <w:rPr>
          <w:rFonts w:cs="Times New Roman"/>
          <w:color w:val="000000" w:themeColor="text1"/>
          <w:sz w:val="22"/>
          <w:szCs w:val="22"/>
          <w:lang w:val="pl-PL"/>
        </w:rPr>
      </w:pPr>
      <w:proofErr w:type="spellStart"/>
      <w:r w:rsidRPr="003F0CA1">
        <w:rPr>
          <w:rFonts w:cs="Times New Roman"/>
          <w:color w:val="000000" w:themeColor="text1"/>
          <w:sz w:val="22"/>
          <w:szCs w:val="22"/>
          <w:lang w:val="pl-PL"/>
        </w:rPr>
        <w:t>Jiménez</w:t>
      </w:r>
      <w:proofErr w:type="spellEnd"/>
      <w:r>
        <w:rPr>
          <w:rFonts w:cs="Times New Roman"/>
          <w:color w:val="000000" w:themeColor="text1"/>
          <w:sz w:val="22"/>
          <w:szCs w:val="22"/>
          <w:lang w:val="pl-PL"/>
        </w:rPr>
        <w:t xml:space="preserve"> </w:t>
      </w:r>
      <w:r w:rsidRPr="003F0CA1">
        <w:rPr>
          <w:rFonts w:cs="Times New Roman"/>
          <w:color w:val="000000" w:themeColor="text1"/>
          <w:sz w:val="22"/>
          <w:szCs w:val="22"/>
          <w:lang w:val="pl-PL"/>
        </w:rPr>
        <w:t xml:space="preserve">Moreno, J.J., &amp; Wach, K. (2014). </w:t>
      </w:r>
      <w:r w:rsidRPr="003F0CA1">
        <w:rPr>
          <w:rFonts w:cs="Times New Roman"/>
          <w:color w:val="000000" w:themeColor="text1"/>
          <w:sz w:val="22"/>
          <w:szCs w:val="22"/>
          <w:lang w:val="en-US"/>
        </w:rPr>
        <w:t>The Entrepreneurial Profile of Students Participating in the Academic Entrepreneur</w:t>
      </w:r>
      <w:r>
        <w:rPr>
          <w:rFonts w:cs="Times New Roman"/>
          <w:color w:val="000000" w:themeColor="text1"/>
          <w:sz w:val="22"/>
          <w:szCs w:val="22"/>
          <w:lang w:val="en-US"/>
        </w:rPr>
        <w:t>s</w:t>
      </w:r>
      <w:r w:rsidRPr="003F0CA1">
        <w:rPr>
          <w:rFonts w:cs="Times New Roman"/>
          <w:color w:val="000000" w:themeColor="text1"/>
          <w:sz w:val="22"/>
          <w:szCs w:val="22"/>
          <w:lang w:val="en-US"/>
        </w:rPr>
        <w:t xml:space="preserve">hip Course: Pilot Study Results. </w:t>
      </w:r>
      <w:r w:rsidRPr="00C95EF6">
        <w:rPr>
          <w:rFonts w:cs="Times New Roman"/>
          <w:i/>
          <w:color w:val="000000" w:themeColor="text1"/>
          <w:sz w:val="22"/>
          <w:szCs w:val="22"/>
          <w:lang w:val="pl-PL"/>
        </w:rPr>
        <w:t>Horyzonty Wychowania, 13</w:t>
      </w:r>
      <w:r w:rsidRPr="00C95EF6">
        <w:rPr>
          <w:rFonts w:cs="Times New Roman"/>
          <w:color w:val="000000" w:themeColor="text1"/>
          <w:sz w:val="22"/>
          <w:szCs w:val="22"/>
          <w:lang w:val="pl-PL"/>
        </w:rPr>
        <w:t>(26): 121-144.</w:t>
      </w:r>
    </w:p>
    <w:p w:rsidR="00E97559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B7857">
        <w:rPr>
          <w:rFonts w:ascii="Times New Roman" w:hAnsi="Times New Roman" w:cs="Times New Roman"/>
        </w:rPr>
        <w:t xml:space="preserve">Kautonen, T. (2008). Understanding the older entrepreneur: Comparing third age and prime age entrepreneurs in Finland. </w:t>
      </w:r>
      <w:r w:rsidRPr="002B7857">
        <w:rPr>
          <w:rFonts w:ascii="Times New Roman" w:hAnsi="Times New Roman" w:cs="Times New Roman"/>
          <w:i/>
        </w:rPr>
        <w:t>International Journal of Business Science and Applied Management</w:t>
      </w:r>
      <w:r w:rsidRPr="002B7857">
        <w:rPr>
          <w:rFonts w:ascii="Times New Roman" w:hAnsi="Times New Roman" w:cs="Times New Roman"/>
        </w:rPr>
        <w:t xml:space="preserve">, </w:t>
      </w:r>
      <w:r w:rsidRPr="002B7857">
        <w:rPr>
          <w:rFonts w:ascii="Times New Roman" w:hAnsi="Times New Roman" w:cs="Times New Roman"/>
          <w:i/>
        </w:rPr>
        <w:t>3</w:t>
      </w:r>
      <w:r w:rsidRPr="002B7857">
        <w:rPr>
          <w:rFonts w:ascii="Times New Roman" w:hAnsi="Times New Roman" w:cs="Times New Roman"/>
        </w:rPr>
        <w:t>(3): 3–13.</w:t>
      </w:r>
    </w:p>
    <w:p w:rsidR="004A6A37" w:rsidRPr="002B7857" w:rsidRDefault="004A6A37" w:rsidP="004A6A3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B7857">
        <w:rPr>
          <w:rFonts w:ascii="Times New Roman" w:hAnsi="Times New Roman" w:cs="Times New Roman"/>
        </w:rPr>
        <w:t>Kautonen, T. (20</w:t>
      </w:r>
      <w:r>
        <w:rPr>
          <w:rFonts w:ascii="Times New Roman" w:hAnsi="Times New Roman" w:cs="Times New Roman"/>
        </w:rPr>
        <w:t>13</w:t>
      </w:r>
      <w:r w:rsidRPr="002B7857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i/>
        </w:rPr>
        <w:t>Senior Entrepreneurship</w:t>
      </w:r>
      <w:r w:rsidRPr="002B7857">
        <w:rPr>
          <w:rFonts w:ascii="Times New Roman" w:hAnsi="Times New Roman" w:cs="Times New Roman"/>
        </w:rPr>
        <w:t xml:space="preserve">. </w:t>
      </w:r>
      <w:r w:rsidRPr="004A6A37">
        <w:rPr>
          <w:rFonts w:ascii="Times New Roman" w:hAnsi="Times New Roman" w:cs="Times New Roman"/>
        </w:rPr>
        <w:t>Paris: OECD</w:t>
      </w:r>
      <w:r w:rsidRPr="002B7857">
        <w:rPr>
          <w:rFonts w:ascii="Times New Roman" w:hAnsi="Times New Roman" w:cs="Times New Roman"/>
        </w:rPr>
        <w:t>.</w:t>
      </w:r>
    </w:p>
    <w:p w:rsidR="00E97559" w:rsidRPr="002B7857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B7857">
        <w:rPr>
          <w:rFonts w:ascii="Times New Roman" w:hAnsi="Times New Roman" w:cs="Times New Roman"/>
        </w:rPr>
        <w:t xml:space="preserve">Kautonen, T., Down, S., &amp; </w:t>
      </w:r>
      <w:proofErr w:type="spellStart"/>
      <w:r w:rsidRPr="002B7857">
        <w:rPr>
          <w:rFonts w:ascii="Times New Roman" w:hAnsi="Times New Roman" w:cs="Times New Roman"/>
        </w:rPr>
        <w:t>Minniti</w:t>
      </w:r>
      <w:proofErr w:type="spellEnd"/>
      <w:r w:rsidRPr="002B7857">
        <w:rPr>
          <w:rFonts w:ascii="Times New Roman" w:hAnsi="Times New Roman" w:cs="Times New Roman"/>
        </w:rPr>
        <w:t xml:space="preserve">, M. (2014). Ageing and entrepreneurial preferences. </w:t>
      </w:r>
      <w:r w:rsidRPr="002B7857">
        <w:rPr>
          <w:rFonts w:ascii="Times New Roman" w:hAnsi="Times New Roman" w:cs="Times New Roman"/>
          <w:i/>
        </w:rPr>
        <w:t>Small Business Economics</w:t>
      </w:r>
      <w:r w:rsidRPr="002B7857">
        <w:rPr>
          <w:rFonts w:ascii="Times New Roman" w:hAnsi="Times New Roman" w:cs="Times New Roman"/>
        </w:rPr>
        <w:t xml:space="preserve">, </w:t>
      </w:r>
      <w:r w:rsidRPr="002B7857">
        <w:rPr>
          <w:rFonts w:ascii="Times New Roman" w:hAnsi="Times New Roman" w:cs="Times New Roman"/>
          <w:i/>
        </w:rPr>
        <w:t>42</w:t>
      </w:r>
      <w:r w:rsidRPr="002B7857">
        <w:rPr>
          <w:rFonts w:ascii="Times New Roman" w:hAnsi="Times New Roman" w:cs="Times New Roman"/>
        </w:rPr>
        <w:t>(3): 579–594</w:t>
      </w:r>
      <w:r w:rsidR="00E1162B">
        <w:rPr>
          <w:rFonts w:ascii="Times New Roman" w:hAnsi="Times New Roman" w:cs="Times New Roman"/>
        </w:rPr>
        <w:t>.</w:t>
      </w:r>
      <w:r w:rsidRPr="002B7857">
        <w:rPr>
          <w:rFonts w:ascii="Times New Roman" w:hAnsi="Times New Roman" w:cs="Times New Roman"/>
        </w:rPr>
        <w:t xml:space="preserve"> </w:t>
      </w:r>
      <w:proofErr w:type="spellStart"/>
      <w:r w:rsidR="00E1162B">
        <w:rPr>
          <w:rFonts w:ascii="Times New Roman" w:hAnsi="Times New Roman" w:cs="Times New Roman"/>
        </w:rPr>
        <w:t>doi</w:t>
      </w:r>
      <w:proofErr w:type="spellEnd"/>
      <w:r w:rsidRPr="002B7857">
        <w:rPr>
          <w:rFonts w:ascii="Times New Roman" w:hAnsi="Times New Roman" w:cs="Times New Roman"/>
        </w:rPr>
        <w:t xml:space="preserve">: 10.1007/s11187-013-9489-5 </w:t>
      </w:r>
    </w:p>
    <w:p w:rsidR="00E97559" w:rsidRPr="002B7857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B7857">
        <w:rPr>
          <w:rFonts w:ascii="Times New Roman" w:hAnsi="Times New Roman" w:cs="Times New Roman"/>
        </w:rPr>
        <w:t xml:space="preserve">Kautonen, T., Down, S., &amp; South, L. (2008). Enterprise support for older entrepreneurs: The case of PRIME in the UK. </w:t>
      </w:r>
      <w:r w:rsidRPr="002B7857">
        <w:rPr>
          <w:rFonts w:ascii="Times New Roman" w:hAnsi="Times New Roman" w:cs="Times New Roman"/>
          <w:i/>
        </w:rPr>
        <w:t>International Journal of Entrepreneurial Behaviour and Research</w:t>
      </w:r>
      <w:r w:rsidRPr="002B7857">
        <w:rPr>
          <w:rFonts w:ascii="Times New Roman" w:hAnsi="Times New Roman" w:cs="Times New Roman"/>
        </w:rPr>
        <w:t xml:space="preserve">, </w:t>
      </w:r>
      <w:r w:rsidRPr="002B7857">
        <w:rPr>
          <w:rFonts w:ascii="Times New Roman" w:hAnsi="Times New Roman" w:cs="Times New Roman"/>
          <w:i/>
        </w:rPr>
        <w:t>14</w:t>
      </w:r>
      <w:r w:rsidRPr="002B7857">
        <w:rPr>
          <w:rFonts w:ascii="Times New Roman" w:hAnsi="Times New Roman" w:cs="Times New Roman"/>
        </w:rPr>
        <w:t>(2), 85–101</w:t>
      </w:r>
      <w:r w:rsidR="00DF39AE">
        <w:rPr>
          <w:rFonts w:ascii="Times New Roman" w:hAnsi="Times New Roman" w:cs="Times New Roman"/>
        </w:rPr>
        <w:t xml:space="preserve">. </w:t>
      </w:r>
      <w:proofErr w:type="spellStart"/>
      <w:r w:rsidR="00DF39AE">
        <w:rPr>
          <w:rFonts w:ascii="Times New Roman" w:hAnsi="Times New Roman" w:cs="Times New Roman"/>
        </w:rPr>
        <w:t>doi</w:t>
      </w:r>
      <w:proofErr w:type="spellEnd"/>
      <w:r w:rsidR="00DF39AE">
        <w:rPr>
          <w:rFonts w:ascii="Times New Roman" w:hAnsi="Times New Roman" w:cs="Times New Roman"/>
        </w:rPr>
        <w:t>:</w:t>
      </w:r>
      <w:r w:rsidRPr="002B7857">
        <w:rPr>
          <w:rFonts w:ascii="Times New Roman" w:hAnsi="Times New Roman" w:cs="Times New Roman"/>
        </w:rPr>
        <w:t xml:space="preserve"> 10.1108/13552550810863071</w:t>
      </w:r>
    </w:p>
    <w:p w:rsidR="00E97559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B7857">
        <w:rPr>
          <w:rFonts w:ascii="Times New Roman" w:hAnsi="Times New Roman" w:cs="Times New Roman"/>
        </w:rPr>
        <w:t xml:space="preserve">Kautonen, T., </w:t>
      </w:r>
      <w:proofErr w:type="spellStart"/>
      <w:r w:rsidRPr="002B7857">
        <w:rPr>
          <w:rFonts w:ascii="Times New Roman" w:hAnsi="Times New Roman" w:cs="Times New Roman"/>
        </w:rPr>
        <w:t>Tornikoski</w:t>
      </w:r>
      <w:proofErr w:type="spellEnd"/>
      <w:r w:rsidRPr="002B7857">
        <w:rPr>
          <w:rFonts w:ascii="Times New Roman" w:hAnsi="Times New Roman" w:cs="Times New Roman"/>
        </w:rPr>
        <w:t xml:space="preserve">, E. T., &amp; </w:t>
      </w:r>
      <w:proofErr w:type="spellStart"/>
      <w:r w:rsidRPr="002B7857">
        <w:rPr>
          <w:rFonts w:ascii="Times New Roman" w:hAnsi="Times New Roman" w:cs="Times New Roman"/>
        </w:rPr>
        <w:t>Kibler</w:t>
      </w:r>
      <w:proofErr w:type="spellEnd"/>
      <w:r w:rsidRPr="002B7857">
        <w:rPr>
          <w:rFonts w:ascii="Times New Roman" w:hAnsi="Times New Roman" w:cs="Times New Roman"/>
        </w:rPr>
        <w:t xml:space="preserve">, E. (2011). Entrepreneurial intentions in the third age: The impact of perceived age norms. </w:t>
      </w:r>
      <w:r w:rsidRPr="002B7857">
        <w:rPr>
          <w:rFonts w:ascii="Times New Roman" w:hAnsi="Times New Roman" w:cs="Times New Roman"/>
          <w:i/>
        </w:rPr>
        <w:t>Small Business Economics</w:t>
      </w:r>
      <w:r w:rsidRPr="002B7857">
        <w:rPr>
          <w:rFonts w:ascii="Times New Roman" w:hAnsi="Times New Roman" w:cs="Times New Roman"/>
        </w:rPr>
        <w:t xml:space="preserve">, </w:t>
      </w:r>
      <w:r w:rsidRPr="002B7857">
        <w:rPr>
          <w:rFonts w:ascii="Times New Roman" w:hAnsi="Times New Roman" w:cs="Times New Roman"/>
          <w:i/>
        </w:rPr>
        <w:t>37</w:t>
      </w:r>
      <w:r w:rsidRPr="002B7857">
        <w:rPr>
          <w:rFonts w:ascii="Times New Roman" w:hAnsi="Times New Roman" w:cs="Times New Roman"/>
        </w:rPr>
        <w:t>(2), 219–234</w:t>
      </w:r>
      <w:r w:rsidR="00DF39AE">
        <w:rPr>
          <w:rFonts w:ascii="Times New Roman" w:hAnsi="Times New Roman" w:cs="Times New Roman"/>
        </w:rPr>
        <w:t>.</w:t>
      </w:r>
      <w:r w:rsidRPr="002B7857">
        <w:rPr>
          <w:rFonts w:ascii="Times New Roman" w:hAnsi="Times New Roman" w:cs="Times New Roman"/>
        </w:rPr>
        <w:t xml:space="preserve"> </w:t>
      </w:r>
      <w:proofErr w:type="spellStart"/>
      <w:r w:rsidR="00DF39AE">
        <w:rPr>
          <w:rFonts w:ascii="Times New Roman" w:hAnsi="Times New Roman" w:cs="Times New Roman"/>
        </w:rPr>
        <w:t>doi</w:t>
      </w:r>
      <w:proofErr w:type="spellEnd"/>
      <w:r w:rsidRPr="002B7857">
        <w:rPr>
          <w:rFonts w:ascii="Times New Roman" w:hAnsi="Times New Roman" w:cs="Times New Roman"/>
        </w:rPr>
        <w:t>: 10.1007/s11187-009-9238-y</w:t>
      </w:r>
    </w:p>
    <w:p w:rsidR="00DF39AE" w:rsidRPr="002B7857" w:rsidRDefault="00DF39AE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DF39AE">
        <w:rPr>
          <w:rFonts w:ascii="Times New Roman" w:hAnsi="Times New Roman" w:cs="Times New Roman"/>
        </w:rPr>
        <w:t>Kurek</w:t>
      </w:r>
      <w:proofErr w:type="spellEnd"/>
      <w:r>
        <w:rPr>
          <w:rFonts w:ascii="Times New Roman" w:hAnsi="Times New Roman" w:cs="Times New Roman"/>
        </w:rPr>
        <w:t>,</w:t>
      </w:r>
      <w:r w:rsidRPr="00DF39AE">
        <w:rPr>
          <w:rFonts w:ascii="Times New Roman" w:hAnsi="Times New Roman" w:cs="Times New Roman"/>
        </w:rPr>
        <w:t xml:space="preserve"> S., </w:t>
      </w:r>
      <w:r>
        <w:rPr>
          <w:rFonts w:ascii="Times New Roman" w:hAnsi="Times New Roman" w:cs="Times New Roman"/>
        </w:rPr>
        <w:t xml:space="preserve">&amp; </w:t>
      </w:r>
      <w:r w:rsidRPr="00DF39AE">
        <w:rPr>
          <w:rFonts w:ascii="Times New Roman" w:hAnsi="Times New Roman" w:cs="Times New Roman"/>
        </w:rPr>
        <w:t>Rachwał</w:t>
      </w:r>
      <w:r>
        <w:rPr>
          <w:rFonts w:ascii="Times New Roman" w:hAnsi="Times New Roman" w:cs="Times New Roman"/>
        </w:rPr>
        <w:t>,</w:t>
      </w:r>
      <w:r w:rsidRPr="00DF39AE">
        <w:rPr>
          <w:rFonts w:ascii="Times New Roman" w:hAnsi="Times New Roman" w:cs="Times New Roman"/>
        </w:rPr>
        <w:t xml:space="preserve"> T.</w:t>
      </w:r>
      <w:r>
        <w:rPr>
          <w:rFonts w:ascii="Times New Roman" w:hAnsi="Times New Roman" w:cs="Times New Roman"/>
        </w:rPr>
        <w:t xml:space="preserve"> (</w:t>
      </w:r>
      <w:r w:rsidRPr="00DF39AE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>).</w:t>
      </w:r>
      <w:r w:rsidRPr="00DF39AE">
        <w:rPr>
          <w:rFonts w:ascii="Times New Roman" w:hAnsi="Times New Roman" w:cs="Times New Roman"/>
        </w:rPr>
        <w:t xml:space="preserve"> Development of entrepreneurship in ageing populations of The European Union</w:t>
      </w:r>
      <w:r>
        <w:rPr>
          <w:rFonts w:ascii="Times New Roman" w:hAnsi="Times New Roman" w:cs="Times New Roman"/>
        </w:rPr>
        <w:t>.</w:t>
      </w:r>
      <w:r w:rsidRPr="00DF39AE">
        <w:rPr>
          <w:rFonts w:ascii="Times New Roman" w:hAnsi="Times New Roman" w:cs="Times New Roman"/>
        </w:rPr>
        <w:t xml:space="preserve"> </w:t>
      </w:r>
      <w:r w:rsidRPr="00DF39AE">
        <w:rPr>
          <w:rFonts w:ascii="Times New Roman" w:hAnsi="Times New Roman" w:cs="Times New Roman"/>
          <w:i/>
        </w:rPr>
        <w:t xml:space="preserve">Procedia. Social and </w:t>
      </w:r>
      <w:proofErr w:type="spellStart"/>
      <w:r w:rsidRPr="00DF39AE">
        <w:rPr>
          <w:rFonts w:ascii="Times New Roman" w:hAnsi="Times New Roman" w:cs="Times New Roman"/>
          <w:i/>
        </w:rPr>
        <w:t>Behavioral</w:t>
      </w:r>
      <w:proofErr w:type="spellEnd"/>
      <w:r w:rsidRPr="00DF39AE">
        <w:rPr>
          <w:rFonts w:ascii="Times New Roman" w:hAnsi="Times New Roman" w:cs="Times New Roman"/>
          <w:i/>
        </w:rPr>
        <w:t xml:space="preserve"> Sciences</w:t>
      </w:r>
      <w:r w:rsidRPr="00DF39AE">
        <w:rPr>
          <w:rFonts w:ascii="Times New Roman" w:hAnsi="Times New Roman" w:cs="Times New Roman"/>
        </w:rPr>
        <w:t>, 19, 397-405</w:t>
      </w:r>
      <w:r>
        <w:rPr>
          <w:rFonts w:ascii="Times New Roman" w:hAnsi="Times New Roman" w:cs="Times New Roman"/>
        </w:rPr>
        <w:t>.</w:t>
      </w:r>
    </w:p>
    <w:p w:rsidR="00E97559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C95EF6">
        <w:rPr>
          <w:rFonts w:ascii="Times New Roman" w:hAnsi="Times New Roman" w:cs="Times New Roman"/>
          <w:lang w:val="pl-PL"/>
        </w:rPr>
        <w:t>Lévesquea</w:t>
      </w:r>
      <w:proofErr w:type="spellEnd"/>
      <w:r w:rsidRPr="00C95EF6">
        <w:rPr>
          <w:rFonts w:ascii="Times New Roman" w:hAnsi="Times New Roman" w:cs="Times New Roman"/>
          <w:lang w:val="pl-PL"/>
        </w:rPr>
        <w:t xml:space="preserve">, M., &amp; </w:t>
      </w:r>
      <w:proofErr w:type="spellStart"/>
      <w:r w:rsidRPr="00C95EF6">
        <w:rPr>
          <w:rFonts w:ascii="Times New Roman" w:hAnsi="Times New Roman" w:cs="Times New Roman"/>
          <w:lang w:val="pl-PL"/>
        </w:rPr>
        <w:t>Minnitib</w:t>
      </w:r>
      <w:proofErr w:type="spellEnd"/>
      <w:r w:rsidRPr="00C95EF6">
        <w:rPr>
          <w:rFonts w:ascii="Times New Roman" w:hAnsi="Times New Roman" w:cs="Times New Roman"/>
          <w:lang w:val="pl-PL"/>
        </w:rPr>
        <w:t xml:space="preserve">, M. (2006). </w:t>
      </w:r>
      <w:r w:rsidRPr="002B7857">
        <w:rPr>
          <w:rFonts w:ascii="Times New Roman" w:hAnsi="Times New Roman" w:cs="Times New Roman"/>
        </w:rPr>
        <w:t xml:space="preserve">The effect of aging on entrepreneurial </w:t>
      </w:r>
      <w:proofErr w:type="spellStart"/>
      <w:r w:rsidRPr="002B7857">
        <w:rPr>
          <w:rFonts w:ascii="Times New Roman" w:hAnsi="Times New Roman" w:cs="Times New Roman"/>
        </w:rPr>
        <w:t>behavior</w:t>
      </w:r>
      <w:proofErr w:type="spellEnd"/>
      <w:r w:rsidRPr="002B7857">
        <w:rPr>
          <w:rFonts w:ascii="Times New Roman" w:hAnsi="Times New Roman" w:cs="Times New Roman"/>
        </w:rPr>
        <w:t xml:space="preserve">. </w:t>
      </w:r>
      <w:r w:rsidRPr="002B7857">
        <w:rPr>
          <w:rFonts w:ascii="Times New Roman" w:hAnsi="Times New Roman" w:cs="Times New Roman"/>
          <w:i/>
        </w:rPr>
        <w:t>Journal of Business Venturing</w:t>
      </w:r>
      <w:r w:rsidRPr="002B7857">
        <w:rPr>
          <w:rFonts w:ascii="Times New Roman" w:hAnsi="Times New Roman" w:cs="Times New Roman"/>
        </w:rPr>
        <w:t xml:space="preserve">, </w:t>
      </w:r>
      <w:r w:rsidRPr="002B7857">
        <w:rPr>
          <w:rFonts w:ascii="Times New Roman" w:hAnsi="Times New Roman" w:cs="Times New Roman"/>
          <w:i/>
        </w:rPr>
        <w:t>21</w:t>
      </w:r>
      <w:r w:rsidRPr="002B7857">
        <w:rPr>
          <w:rFonts w:ascii="Times New Roman" w:hAnsi="Times New Roman" w:cs="Times New Roman"/>
        </w:rPr>
        <w:t>(2): 177–194</w:t>
      </w:r>
      <w:r w:rsidR="00E1162B">
        <w:rPr>
          <w:rFonts w:ascii="Times New Roman" w:hAnsi="Times New Roman" w:cs="Times New Roman"/>
        </w:rPr>
        <w:t>.</w:t>
      </w:r>
      <w:r w:rsidRPr="002B7857">
        <w:rPr>
          <w:rFonts w:ascii="Times New Roman" w:hAnsi="Times New Roman" w:cs="Times New Roman"/>
        </w:rPr>
        <w:t xml:space="preserve"> </w:t>
      </w:r>
      <w:proofErr w:type="spellStart"/>
      <w:r w:rsidR="00E1162B">
        <w:rPr>
          <w:rFonts w:ascii="Times New Roman" w:hAnsi="Times New Roman" w:cs="Times New Roman"/>
        </w:rPr>
        <w:t>doi</w:t>
      </w:r>
      <w:proofErr w:type="spellEnd"/>
      <w:r w:rsidRPr="002B7857">
        <w:rPr>
          <w:rFonts w:ascii="Times New Roman" w:hAnsi="Times New Roman" w:cs="Times New Roman"/>
        </w:rPr>
        <w:t>: 10.1016/j.jbusvent.2005.04.003</w:t>
      </w:r>
    </w:p>
    <w:p w:rsidR="007C5FF1" w:rsidRPr="002B7857" w:rsidRDefault="007C5FF1" w:rsidP="007C5FF1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C5FF1">
        <w:rPr>
          <w:rFonts w:ascii="Times New Roman" w:hAnsi="Times New Roman" w:cs="Times New Roman"/>
        </w:rPr>
        <w:t xml:space="preserve">Liang, J., Wang, H., &amp; </w:t>
      </w:r>
      <w:proofErr w:type="spellStart"/>
      <w:r w:rsidRPr="007C5FF1">
        <w:rPr>
          <w:rFonts w:ascii="Times New Roman" w:hAnsi="Times New Roman" w:cs="Times New Roman"/>
        </w:rPr>
        <w:t>Lazear</w:t>
      </w:r>
      <w:proofErr w:type="spellEnd"/>
      <w:r w:rsidRPr="007C5FF1">
        <w:rPr>
          <w:rFonts w:ascii="Times New Roman" w:hAnsi="Times New Roman" w:cs="Times New Roman"/>
        </w:rPr>
        <w:t>, E.P. (2014). Demographi</w:t>
      </w:r>
      <w:r>
        <w:rPr>
          <w:rFonts w:ascii="Times New Roman" w:hAnsi="Times New Roman" w:cs="Times New Roman"/>
        </w:rPr>
        <w:t xml:space="preserve">cs </w:t>
      </w:r>
      <w:r w:rsidRPr="007C5FF1">
        <w:rPr>
          <w:rFonts w:ascii="Times New Roman" w:hAnsi="Times New Roman" w:cs="Times New Roman"/>
        </w:rPr>
        <w:t>and Entrepreneurship. Working Paper No. 20506.</w:t>
      </w:r>
      <w:r>
        <w:rPr>
          <w:rFonts w:ascii="Times New Roman" w:hAnsi="Times New Roman" w:cs="Times New Roman"/>
        </w:rPr>
        <w:t xml:space="preserve"> </w:t>
      </w:r>
      <w:r w:rsidRPr="007C5FF1">
        <w:rPr>
          <w:rFonts w:ascii="Times New Roman" w:hAnsi="Times New Roman" w:cs="Times New Roman"/>
        </w:rPr>
        <w:t>The National Bure</w:t>
      </w:r>
      <w:r>
        <w:rPr>
          <w:rFonts w:ascii="Times New Roman" w:hAnsi="Times New Roman" w:cs="Times New Roman"/>
        </w:rPr>
        <w:t xml:space="preserve">au of Economic Research (NBER). </w:t>
      </w:r>
      <w:r w:rsidRPr="007C5FF1">
        <w:rPr>
          <w:rFonts w:ascii="Times New Roman" w:hAnsi="Times New Roman" w:cs="Times New Roman"/>
        </w:rPr>
        <w:t xml:space="preserve">NBER Programs: Industrial Organization (IO); </w:t>
      </w:r>
      <w:proofErr w:type="spellStart"/>
      <w:r w:rsidRPr="007C5FF1">
        <w:rPr>
          <w:rFonts w:ascii="Times New Roman" w:hAnsi="Times New Roman" w:cs="Times New Roman"/>
        </w:rPr>
        <w:t>Labor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C5FF1">
        <w:rPr>
          <w:rFonts w:ascii="Times New Roman" w:hAnsi="Times New Roman" w:cs="Times New Roman"/>
        </w:rPr>
        <w:t>Studies (LS)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7C5FF1">
        <w:rPr>
          <w:rFonts w:ascii="Times New Roman" w:hAnsi="Times New Roman" w:cs="Times New Roman"/>
        </w:rPr>
        <w:t>doi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7C5FF1">
        <w:rPr>
          <w:rFonts w:ascii="Times New Roman" w:hAnsi="Times New Roman" w:cs="Times New Roman"/>
        </w:rPr>
        <w:t>10.3386/w20506</w:t>
      </w:r>
    </w:p>
    <w:p w:rsidR="00E97559" w:rsidRPr="007D09CB" w:rsidRDefault="00E97559" w:rsidP="007D09CB">
      <w:p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7D09CB">
        <w:rPr>
          <w:rFonts w:ascii="Times New Roman" w:hAnsi="Times New Roman" w:cs="Times New Roman"/>
        </w:rPr>
        <w:t>Mączyńska</w:t>
      </w:r>
      <w:proofErr w:type="spellEnd"/>
      <w:r>
        <w:rPr>
          <w:rFonts w:ascii="Times New Roman" w:hAnsi="Times New Roman" w:cs="Times New Roman"/>
        </w:rPr>
        <w:t xml:space="preserve">, E. (2014). </w:t>
      </w:r>
      <w:proofErr w:type="spellStart"/>
      <w:r w:rsidRPr="007D09CB">
        <w:rPr>
          <w:rFonts w:ascii="Times New Roman" w:hAnsi="Times New Roman" w:cs="Times New Roman"/>
        </w:rPr>
        <w:t>Polska</w:t>
      </w:r>
      <w:proofErr w:type="spellEnd"/>
      <w:r w:rsidRPr="007D09CB">
        <w:rPr>
          <w:rFonts w:ascii="Times New Roman" w:hAnsi="Times New Roman" w:cs="Times New Roman"/>
        </w:rPr>
        <w:t xml:space="preserve"> </w:t>
      </w:r>
      <w:proofErr w:type="spellStart"/>
      <w:r w:rsidRPr="007D09CB">
        <w:rPr>
          <w:rFonts w:ascii="Times New Roman" w:hAnsi="Times New Roman" w:cs="Times New Roman"/>
        </w:rPr>
        <w:t>transf</w:t>
      </w:r>
      <w:r>
        <w:rPr>
          <w:rFonts w:ascii="Times New Roman" w:hAnsi="Times New Roman" w:cs="Times New Roman"/>
        </w:rPr>
        <w:t>ormacja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kapitalizm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inkluzywny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7D09CB">
        <w:rPr>
          <w:rFonts w:ascii="Times New Roman" w:hAnsi="Times New Roman" w:cs="Times New Roman"/>
          <w:i/>
        </w:rPr>
        <w:t>Mazowsze</w:t>
      </w:r>
      <w:proofErr w:type="spellEnd"/>
      <w:r>
        <w:rPr>
          <w:rFonts w:ascii="Times New Roman" w:hAnsi="Times New Roman" w:cs="Times New Roman"/>
          <w:i/>
        </w:rPr>
        <w:t>:</w:t>
      </w:r>
      <w:r w:rsidRPr="007D09CB">
        <w:rPr>
          <w:rFonts w:ascii="Times New Roman" w:hAnsi="Times New Roman" w:cs="Times New Roman"/>
          <w:i/>
        </w:rPr>
        <w:t xml:space="preserve"> </w:t>
      </w:r>
      <w:proofErr w:type="spellStart"/>
      <w:r w:rsidRPr="007D09CB">
        <w:rPr>
          <w:rFonts w:ascii="Times New Roman" w:hAnsi="Times New Roman" w:cs="Times New Roman"/>
          <w:i/>
        </w:rPr>
        <w:t>Studia</w:t>
      </w:r>
      <w:proofErr w:type="spellEnd"/>
      <w:r w:rsidRPr="007D09CB">
        <w:rPr>
          <w:rFonts w:ascii="Times New Roman" w:hAnsi="Times New Roman" w:cs="Times New Roman"/>
          <w:i/>
        </w:rPr>
        <w:t xml:space="preserve"> </w:t>
      </w:r>
      <w:proofErr w:type="spellStart"/>
      <w:r w:rsidRPr="007D09CB">
        <w:rPr>
          <w:rFonts w:ascii="Times New Roman" w:hAnsi="Times New Roman" w:cs="Times New Roman"/>
          <w:i/>
        </w:rPr>
        <w:t>Regionalne</w:t>
      </w:r>
      <w:proofErr w:type="spellEnd"/>
      <w:r w:rsidRPr="007D09CB">
        <w:rPr>
          <w:rFonts w:ascii="Times New Roman" w:hAnsi="Times New Roman" w:cs="Times New Roman"/>
        </w:rPr>
        <w:t>, 15</w:t>
      </w:r>
      <w:r>
        <w:rPr>
          <w:rFonts w:ascii="Times New Roman" w:hAnsi="Times New Roman" w:cs="Times New Roman"/>
        </w:rPr>
        <w:t xml:space="preserve">, </w:t>
      </w:r>
      <w:r w:rsidRPr="007D09CB">
        <w:rPr>
          <w:rFonts w:ascii="Times New Roman" w:hAnsi="Times New Roman" w:cs="Times New Roman"/>
        </w:rPr>
        <w:t>13-28</w:t>
      </w:r>
      <w:r>
        <w:rPr>
          <w:rFonts w:ascii="Times New Roman" w:hAnsi="Times New Roman" w:cs="Times New Roman"/>
        </w:rPr>
        <w:t>.</w:t>
      </w:r>
    </w:p>
    <w:p w:rsidR="00E97559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24E4E">
        <w:rPr>
          <w:rFonts w:ascii="Times New Roman" w:hAnsi="Times New Roman" w:cs="Times New Roman"/>
          <w:color w:val="000000" w:themeColor="text1"/>
          <w:lang w:val="en-US"/>
        </w:rPr>
        <w:t xml:space="preserve">Parker, S.C. (2009). </w:t>
      </w:r>
      <w:r w:rsidRPr="00F24E4E">
        <w:rPr>
          <w:rFonts w:ascii="Times New Roman" w:hAnsi="Times New Roman" w:cs="Times New Roman"/>
          <w:i/>
          <w:color w:val="000000" w:themeColor="text1"/>
          <w:lang w:val="en-US"/>
        </w:rPr>
        <w:t>The economics of entrepreneurship</w:t>
      </w:r>
      <w:r w:rsidRPr="00F24E4E">
        <w:rPr>
          <w:rFonts w:ascii="Times New Roman" w:hAnsi="Times New Roman" w:cs="Times New Roman"/>
          <w:color w:val="000000" w:themeColor="text1"/>
          <w:lang w:val="en-US"/>
        </w:rPr>
        <w:t>. Cambridge: Cambridge University Press.</w:t>
      </w:r>
    </w:p>
    <w:p w:rsidR="004D7F15" w:rsidRPr="00F24E4E" w:rsidRDefault="004D7F15" w:rsidP="004D7F15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4D7F15">
        <w:rPr>
          <w:rFonts w:ascii="Times New Roman" w:hAnsi="Times New Roman" w:cs="Times New Roman"/>
          <w:color w:val="000000" w:themeColor="text1"/>
          <w:lang w:val="en-US"/>
        </w:rPr>
        <w:t>Pilkova</w:t>
      </w:r>
      <w:proofErr w:type="spellEnd"/>
      <w:r w:rsidRPr="004D7F15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A., </w:t>
      </w:r>
      <w:proofErr w:type="spellStart"/>
      <w:r w:rsidRPr="004D7F15">
        <w:rPr>
          <w:rFonts w:ascii="Times New Roman" w:hAnsi="Times New Roman" w:cs="Times New Roman"/>
          <w:color w:val="000000" w:themeColor="text1"/>
          <w:lang w:val="en-US"/>
        </w:rPr>
        <w:t>Holienka</w:t>
      </w:r>
      <w:proofErr w:type="spellEnd"/>
      <w:r w:rsidRPr="004D7F15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M., &amp; </w:t>
      </w:r>
      <w:proofErr w:type="spellStart"/>
      <w:r w:rsidRPr="004D7F15">
        <w:rPr>
          <w:rFonts w:ascii="Times New Roman" w:hAnsi="Times New Roman" w:cs="Times New Roman"/>
          <w:color w:val="000000" w:themeColor="text1"/>
          <w:lang w:val="en-US"/>
        </w:rPr>
        <w:t>Rehak</w:t>
      </w:r>
      <w:proofErr w:type="spellEnd"/>
      <w:r w:rsidRPr="004D7F15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J. (2014). </w:t>
      </w:r>
      <w:r w:rsidRPr="004D7F15">
        <w:rPr>
          <w:rFonts w:ascii="Times New Roman" w:hAnsi="Times New Roman" w:cs="Times New Roman"/>
          <w:color w:val="000000" w:themeColor="text1"/>
          <w:lang w:val="en-US"/>
        </w:rPr>
        <w:t>Senior Entrepreneurship in the Perspective of European Entrepreneurial Environment</w:t>
      </w:r>
      <w:r>
        <w:rPr>
          <w:rFonts w:ascii="Times New Roman" w:eastAsia="MS Gothic" w:hAnsi="Times New Roman" w:cs="Times New Roman"/>
          <w:color w:val="000000" w:themeColor="text1"/>
          <w:lang w:val="en-US"/>
        </w:rPr>
        <w:t xml:space="preserve">. </w:t>
      </w:r>
      <w:r w:rsidRPr="004D7F15">
        <w:rPr>
          <w:rFonts w:ascii="Times New Roman" w:eastAsia="MS Gothic" w:hAnsi="Times New Roman" w:cs="Times New Roman"/>
          <w:i/>
          <w:color w:val="000000" w:themeColor="text1"/>
          <w:lang w:val="en-US"/>
        </w:rPr>
        <w:t>Procedia Economics and Finance</w:t>
      </w:r>
      <w:r>
        <w:rPr>
          <w:rFonts w:ascii="Times New Roman" w:eastAsia="MS Gothic" w:hAnsi="Times New Roman" w:cs="Times New Roman"/>
          <w:color w:val="000000" w:themeColor="text1"/>
          <w:lang w:val="en-US"/>
        </w:rPr>
        <w:t xml:space="preserve">, </w:t>
      </w:r>
      <w:r w:rsidRPr="004D7F15">
        <w:rPr>
          <w:rFonts w:ascii="Times New Roman" w:eastAsia="MS Gothic" w:hAnsi="Times New Roman" w:cs="Times New Roman"/>
          <w:color w:val="000000" w:themeColor="text1"/>
          <w:lang w:val="en-US"/>
        </w:rPr>
        <w:t>12, 523–532</w:t>
      </w:r>
      <w:r>
        <w:rPr>
          <w:rFonts w:ascii="Times New Roman" w:eastAsia="MS Gothic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4D7F15">
        <w:rPr>
          <w:rFonts w:ascii="Times New Roman" w:hAnsi="Times New Roman" w:cs="Times New Roman"/>
          <w:color w:val="000000" w:themeColor="text1"/>
          <w:lang w:val="en-US"/>
        </w:rPr>
        <w:t>doi</w:t>
      </w:r>
      <w:proofErr w:type="spellEnd"/>
      <w:r w:rsidRPr="004D7F15">
        <w:rPr>
          <w:rFonts w:ascii="Times New Roman" w:hAnsi="Times New Roman" w:cs="Times New Roman"/>
          <w:color w:val="000000" w:themeColor="text1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D7F15">
        <w:rPr>
          <w:rFonts w:ascii="Times New Roman" w:hAnsi="Times New Roman" w:cs="Times New Roman"/>
          <w:color w:val="000000" w:themeColor="text1"/>
          <w:lang w:val="en-US"/>
        </w:rPr>
        <w:t>10.1016/S2212-5671(14)00375-X</w:t>
      </w:r>
    </w:p>
    <w:p w:rsidR="00E97559" w:rsidRDefault="00E97559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C95EF6">
        <w:rPr>
          <w:rFonts w:ascii="Times New Roman" w:hAnsi="Times New Roman" w:cs="Times New Roman"/>
          <w:lang w:val="pl-PL"/>
        </w:rPr>
        <w:t xml:space="preserve">Singh, G., &amp; </w:t>
      </w:r>
      <w:proofErr w:type="spellStart"/>
      <w:r w:rsidRPr="00C95EF6">
        <w:rPr>
          <w:rFonts w:ascii="Times New Roman" w:hAnsi="Times New Roman" w:cs="Times New Roman"/>
          <w:lang w:val="pl-PL"/>
        </w:rPr>
        <w:t>DeNoble</w:t>
      </w:r>
      <w:proofErr w:type="spellEnd"/>
      <w:r w:rsidRPr="00C95EF6">
        <w:rPr>
          <w:rFonts w:ascii="Times New Roman" w:hAnsi="Times New Roman" w:cs="Times New Roman"/>
          <w:lang w:val="pl-PL"/>
        </w:rPr>
        <w:t xml:space="preserve">, A. (2003). </w:t>
      </w:r>
      <w:r w:rsidRPr="002B7857">
        <w:rPr>
          <w:rFonts w:ascii="Times New Roman" w:hAnsi="Times New Roman" w:cs="Times New Roman"/>
          <w:lang w:val="en-US"/>
        </w:rPr>
        <w:t>Early retiree</w:t>
      </w:r>
      <w:r w:rsidRPr="002B7857">
        <w:rPr>
          <w:rFonts w:ascii="Times New Roman" w:hAnsi="Times New Roman" w:cs="Times New Roman"/>
        </w:rPr>
        <w:t xml:space="preserve">s as the next generation of entrepreneurs. </w:t>
      </w:r>
      <w:proofErr w:type="spellStart"/>
      <w:r w:rsidRPr="00C95EF6">
        <w:rPr>
          <w:rFonts w:ascii="Times New Roman" w:hAnsi="Times New Roman" w:cs="Times New Roman"/>
          <w:i/>
          <w:lang w:val="pl-PL"/>
        </w:rPr>
        <w:t>Entrepreneurship</w:t>
      </w:r>
      <w:proofErr w:type="spellEnd"/>
      <w:r w:rsidRPr="00C95EF6">
        <w:rPr>
          <w:rFonts w:ascii="Times New Roman" w:hAnsi="Times New Roman" w:cs="Times New Roman"/>
          <w:i/>
          <w:lang w:val="pl-PL"/>
        </w:rPr>
        <w:t xml:space="preserve"> </w:t>
      </w:r>
      <w:proofErr w:type="spellStart"/>
      <w:r w:rsidRPr="00C95EF6">
        <w:rPr>
          <w:rFonts w:ascii="Times New Roman" w:hAnsi="Times New Roman" w:cs="Times New Roman"/>
          <w:i/>
          <w:lang w:val="pl-PL"/>
        </w:rPr>
        <w:t>Theory</w:t>
      </w:r>
      <w:proofErr w:type="spellEnd"/>
      <w:r w:rsidRPr="00C95EF6">
        <w:rPr>
          <w:rFonts w:ascii="Times New Roman" w:hAnsi="Times New Roman" w:cs="Times New Roman"/>
          <w:i/>
          <w:lang w:val="pl-PL"/>
        </w:rPr>
        <w:t xml:space="preserve"> and </w:t>
      </w:r>
      <w:proofErr w:type="spellStart"/>
      <w:r w:rsidRPr="00C95EF6">
        <w:rPr>
          <w:rFonts w:ascii="Times New Roman" w:hAnsi="Times New Roman" w:cs="Times New Roman"/>
          <w:i/>
          <w:lang w:val="pl-PL"/>
        </w:rPr>
        <w:t>Practice</w:t>
      </w:r>
      <w:proofErr w:type="spellEnd"/>
      <w:r w:rsidRPr="00C95EF6">
        <w:rPr>
          <w:rFonts w:ascii="Times New Roman" w:hAnsi="Times New Roman" w:cs="Times New Roman"/>
          <w:lang w:val="pl-PL"/>
        </w:rPr>
        <w:t xml:space="preserve">, </w:t>
      </w:r>
      <w:r w:rsidRPr="00C95EF6">
        <w:rPr>
          <w:rFonts w:ascii="Times New Roman" w:hAnsi="Times New Roman" w:cs="Times New Roman"/>
          <w:i/>
          <w:lang w:val="pl-PL"/>
        </w:rPr>
        <w:t>3</w:t>
      </w:r>
      <w:r w:rsidRPr="00C95EF6">
        <w:rPr>
          <w:rFonts w:ascii="Times New Roman" w:hAnsi="Times New Roman" w:cs="Times New Roman"/>
          <w:lang w:val="pl-PL"/>
        </w:rPr>
        <w:t>(3): 207–226.</w:t>
      </w:r>
    </w:p>
    <w:p w:rsidR="001A52F6" w:rsidRDefault="001A52F6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proofErr w:type="spellStart"/>
      <w:r w:rsidRPr="001A52F6">
        <w:rPr>
          <w:rFonts w:ascii="Times New Roman" w:hAnsi="Times New Roman" w:cs="Times New Roman"/>
          <w:lang w:val="pl-PL"/>
        </w:rPr>
        <w:t>Thurik</w:t>
      </w:r>
      <w:proofErr w:type="spellEnd"/>
      <w:r w:rsidRPr="001A52F6">
        <w:rPr>
          <w:rFonts w:ascii="Times New Roman" w:hAnsi="Times New Roman" w:cs="Times New Roman"/>
          <w:lang w:val="pl-PL"/>
        </w:rPr>
        <w:t xml:space="preserve">, A. R., </w:t>
      </w:r>
      <w:proofErr w:type="spellStart"/>
      <w:r w:rsidRPr="001A52F6">
        <w:rPr>
          <w:rFonts w:ascii="Times New Roman" w:hAnsi="Times New Roman" w:cs="Times New Roman"/>
          <w:lang w:val="pl-PL"/>
        </w:rPr>
        <w:t>Carree</w:t>
      </w:r>
      <w:proofErr w:type="spellEnd"/>
      <w:r w:rsidRPr="001A52F6">
        <w:rPr>
          <w:rFonts w:ascii="Times New Roman" w:hAnsi="Times New Roman" w:cs="Times New Roman"/>
          <w:lang w:val="pl-PL"/>
        </w:rPr>
        <w:t xml:space="preserve">, M. A., Van Stel, A., &amp; </w:t>
      </w:r>
      <w:proofErr w:type="spellStart"/>
      <w:r w:rsidRPr="001A52F6">
        <w:rPr>
          <w:rFonts w:ascii="Times New Roman" w:hAnsi="Times New Roman" w:cs="Times New Roman"/>
          <w:lang w:val="pl-PL"/>
        </w:rPr>
        <w:t>Audretsch</w:t>
      </w:r>
      <w:proofErr w:type="spellEnd"/>
      <w:r w:rsidRPr="001A52F6">
        <w:rPr>
          <w:rFonts w:ascii="Times New Roman" w:hAnsi="Times New Roman" w:cs="Times New Roman"/>
          <w:lang w:val="pl-PL"/>
        </w:rPr>
        <w:t xml:space="preserve">, D. B. (2008). </w:t>
      </w:r>
      <w:proofErr w:type="spellStart"/>
      <w:r w:rsidRPr="001A52F6">
        <w:rPr>
          <w:rFonts w:ascii="Times New Roman" w:hAnsi="Times New Roman" w:cs="Times New Roman"/>
          <w:lang w:val="pl-PL"/>
        </w:rPr>
        <w:t>Does</w:t>
      </w:r>
      <w:proofErr w:type="spellEnd"/>
      <w:r w:rsidRPr="001A52F6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1A52F6">
        <w:rPr>
          <w:rFonts w:ascii="Times New Roman" w:hAnsi="Times New Roman" w:cs="Times New Roman"/>
          <w:lang w:val="pl-PL"/>
        </w:rPr>
        <w:t>self-employment</w:t>
      </w:r>
      <w:proofErr w:type="spellEnd"/>
      <w:r w:rsidRPr="001A52F6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1A52F6">
        <w:rPr>
          <w:rFonts w:ascii="Times New Roman" w:hAnsi="Times New Roman" w:cs="Times New Roman"/>
          <w:lang w:val="pl-PL"/>
        </w:rPr>
        <w:t>reduce</w:t>
      </w:r>
      <w:proofErr w:type="spellEnd"/>
      <w:r w:rsidRPr="001A52F6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1A52F6">
        <w:rPr>
          <w:rFonts w:ascii="Times New Roman" w:hAnsi="Times New Roman" w:cs="Times New Roman"/>
          <w:lang w:val="pl-PL"/>
        </w:rPr>
        <w:t>unemployment</w:t>
      </w:r>
      <w:proofErr w:type="spellEnd"/>
      <w:r w:rsidRPr="001A52F6">
        <w:rPr>
          <w:rFonts w:ascii="Times New Roman" w:hAnsi="Times New Roman" w:cs="Times New Roman"/>
          <w:lang w:val="pl-PL"/>
        </w:rPr>
        <w:t xml:space="preserve">?. </w:t>
      </w:r>
      <w:proofErr w:type="spellStart"/>
      <w:r w:rsidRPr="001A52F6">
        <w:rPr>
          <w:rFonts w:ascii="Times New Roman" w:hAnsi="Times New Roman" w:cs="Times New Roman"/>
          <w:i/>
          <w:lang w:val="pl-PL"/>
        </w:rPr>
        <w:t>Journal</w:t>
      </w:r>
      <w:proofErr w:type="spellEnd"/>
      <w:r w:rsidRPr="001A52F6">
        <w:rPr>
          <w:rFonts w:ascii="Times New Roman" w:hAnsi="Times New Roman" w:cs="Times New Roman"/>
          <w:i/>
          <w:lang w:val="pl-PL"/>
        </w:rPr>
        <w:t xml:space="preserve"> of Business </w:t>
      </w:r>
      <w:proofErr w:type="spellStart"/>
      <w:r w:rsidRPr="001A52F6">
        <w:rPr>
          <w:rFonts w:ascii="Times New Roman" w:hAnsi="Times New Roman" w:cs="Times New Roman"/>
          <w:i/>
          <w:lang w:val="pl-PL"/>
        </w:rPr>
        <w:t>Venturing</w:t>
      </w:r>
      <w:proofErr w:type="spellEnd"/>
      <w:r w:rsidRPr="001A52F6">
        <w:rPr>
          <w:rFonts w:ascii="Times New Roman" w:hAnsi="Times New Roman" w:cs="Times New Roman"/>
          <w:lang w:val="pl-PL"/>
        </w:rPr>
        <w:t>, 23(6), 673-686.</w:t>
      </w:r>
    </w:p>
    <w:p w:rsidR="007F4534" w:rsidRDefault="007F4534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7F4534">
        <w:rPr>
          <w:rFonts w:ascii="Times New Roman" w:hAnsi="Times New Roman" w:cs="Times New Roman"/>
          <w:lang w:val="pl-PL"/>
        </w:rPr>
        <w:t xml:space="preserve">Wach, </w:t>
      </w:r>
      <w:r>
        <w:rPr>
          <w:rFonts w:ascii="Times New Roman" w:hAnsi="Times New Roman" w:cs="Times New Roman"/>
          <w:lang w:val="pl-PL"/>
        </w:rPr>
        <w:t>K. (2014).</w:t>
      </w:r>
      <w:r w:rsidRPr="007F4534">
        <w:rPr>
          <w:rFonts w:ascii="Times New Roman" w:hAnsi="Times New Roman" w:cs="Times New Roman"/>
          <w:lang w:val="pl-PL"/>
        </w:rPr>
        <w:t xml:space="preserve"> International </w:t>
      </w:r>
      <w:proofErr w:type="spellStart"/>
      <w:r w:rsidRPr="007F4534">
        <w:rPr>
          <w:rFonts w:ascii="Times New Roman" w:hAnsi="Times New Roman" w:cs="Times New Roman"/>
          <w:lang w:val="pl-PL"/>
        </w:rPr>
        <w:t>Entrepreneurship</w:t>
      </w:r>
      <w:proofErr w:type="spellEnd"/>
      <w:r w:rsidRPr="007F4534">
        <w:rPr>
          <w:rFonts w:ascii="Times New Roman" w:hAnsi="Times New Roman" w:cs="Times New Roman"/>
          <w:lang w:val="pl-PL"/>
        </w:rPr>
        <w:t xml:space="preserve"> and the Third Age: The </w:t>
      </w:r>
      <w:proofErr w:type="spellStart"/>
      <w:r w:rsidRPr="007F4534">
        <w:rPr>
          <w:rFonts w:ascii="Times New Roman" w:hAnsi="Times New Roman" w:cs="Times New Roman"/>
          <w:lang w:val="pl-PL"/>
        </w:rPr>
        <w:t>Effect</w:t>
      </w:r>
      <w:proofErr w:type="spellEnd"/>
      <w:r w:rsidRPr="007F4534">
        <w:rPr>
          <w:rFonts w:ascii="Times New Roman" w:hAnsi="Times New Roman" w:cs="Times New Roman"/>
          <w:lang w:val="pl-PL"/>
        </w:rPr>
        <w:t xml:space="preserve"> of the </w:t>
      </w:r>
      <w:proofErr w:type="spellStart"/>
      <w:r w:rsidRPr="007F4534">
        <w:rPr>
          <w:rFonts w:ascii="Times New Roman" w:hAnsi="Times New Roman" w:cs="Times New Roman"/>
          <w:lang w:val="pl-PL"/>
        </w:rPr>
        <w:t>Entrereneur's</w:t>
      </w:r>
      <w:proofErr w:type="spellEnd"/>
      <w:r w:rsidRPr="007F4534">
        <w:rPr>
          <w:rFonts w:ascii="Times New Roman" w:hAnsi="Times New Roman" w:cs="Times New Roman"/>
          <w:lang w:val="pl-PL"/>
        </w:rPr>
        <w:t xml:space="preserve"> Age on Internationalisation of </w:t>
      </w:r>
      <w:proofErr w:type="spellStart"/>
      <w:r w:rsidRPr="007F4534">
        <w:rPr>
          <w:rFonts w:ascii="Times New Roman" w:hAnsi="Times New Roman" w:cs="Times New Roman"/>
          <w:lang w:val="pl-PL"/>
        </w:rPr>
        <w:t>Polish</w:t>
      </w:r>
      <w:proofErr w:type="spellEnd"/>
      <w:r w:rsidRPr="007F4534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7F4534">
        <w:rPr>
          <w:rFonts w:ascii="Times New Roman" w:hAnsi="Times New Roman" w:cs="Times New Roman"/>
          <w:lang w:val="pl-PL"/>
        </w:rPr>
        <w:t>Businesses</w:t>
      </w:r>
      <w:proofErr w:type="spellEnd"/>
      <w:r>
        <w:rPr>
          <w:rFonts w:ascii="Times New Roman" w:hAnsi="Times New Roman" w:cs="Times New Roman"/>
          <w:lang w:val="pl-PL"/>
        </w:rPr>
        <w:t>.</w:t>
      </w:r>
      <w:r w:rsidRPr="007F4534">
        <w:rPr>
          <w:rFonts w:ascii="Times New Roman" w:hAnsi="Times New Roman" w:cs="Times New Roman"/>
          <w:lang w:val="pl-PL"/>
        </w:rPr>
        <w:t xml:space="preserve"> </w:t>
      </w:r>
      <w:r w:rsidRPr="007F4534">
        <w:rPr>
          <w:rFonts w:ascii="Times New Roman" w:hAnsi="Times New Roman" w:cs="Times New Roman"/>
          <w:i/>
          <w:lang w:val="pl-PL"/>
        </w:rPr>
        <w:t>Przedsiębiorczość i Zarządzanie</w:t>
      </w:r>
      <w:r w:rsidRPr="007F4534">
        <w:rPr>
          <w:rFonts w:ascii="Times New Roman" w:hAnsi="Times New Roman" w:cs="Times New Roman"/>
          <w:lang w:val="pl-PL"/>
        </w:rPr>
        <w:t>, XV</w:t>
      </w:r>
      <w:r>
        <w:rPr>
          <w:rFonts w:ascii="Times New Roman" w:hAnsi="Times New Roman" w:cs="Times New Roman"/>
          <w:lang w:val="pl-PL"/>
        </w:rPr>
        <w:t>(</w:t>
      </w:r>
      <w:r w:rsidRPr="007F4534">
        <w:rPr>
          <w:rFonts w:ascii="Times New Roman" w:hAnsi="Times New Roman" w:cs="Times New Roman"/>
          <w:lang w:val="pl-PL"/>
        </w:rPr>
        <w:t>11</w:t>
      </w:r>
      <w:r>
        <w:rPr>
          <w:rFonts w:ascii="Times New Roman" w:hAnsi="Times New Roman" w:cs="Times New Roman"/>
          <w:lang w:val="pl-PL"/>
        </w:rPr>
        <w:t>[</w:t>
      </w:r>
      <w:r w:rsidRPr="007F4534">
        <w:rPr>
          <w:rFonts w:ascii="Times New Roman" w:hAnsi="Times New Roman" w:cs="Times New Roman"/>
          <w:lang w:val="pl-PL"/>
        </w:rPr>
        <w:t>1</w:t>
      </w:r>
      <w:r>
        <w:rPr>
          <w:rFonts w:ascii="Times New Roman" w:hAnsi="Times New Roman" w:cs="Times New Roman"/>
          <w:lang w:val="pl-PL"/>
        </w:rPr>
        <w:t>]), 65-80.</w:t>
      </w:r>
    </w:p>
    <w:p w:rsidR="00B13B38" w:rsidRDefault="00B13B38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B13B38">
        <w:rPr>
          <w:rFonts w:ascii="Times New Roman" w:hAnsi="Times New Roman" w:cs="Times New Roman"/>
          <w:lang w:val="pl-PL"/>
        </w:rPr>
        <w:t xml:space="preserve">Wach, </w:t>
      </w:r>
      <w:r>
        <w:rPr>
          <w:rFonts w:ascii="Times New Roman" w:hAnsi="Times New Roman" w:cs="Times New Roman"/>
          <w:lang w:val="pl-PL"/>
        </w:rPr>
        <w:t xml:space="preserve">K. (2015a). </w:t>
      </w:r>
      <w:proofErr w:type="spellStart"/>
      <w:r w:rsidRPr="00B13B38">
        <w:rPr>
          <w:rFonts w:ascii="Times New Roman" w:hAnsi="Times New Roman" w:cs="Times New Roman"/>
          <w:lang w:val="pl-PL"/>
        </w:rPr>
        <w:t>Impact</w:t>
      </w:r>
      <w:proofErr w:type="spellEnd"/>
      <w:r w:rsidRPr="00B13B38">
        <w:rPr>
          <w:rFonts w:ascii="Times New Roman" w:hAnsi="Times New Roman" w:cs="Times New Roman"/>
          <w:lang w:val="pl-PL"/>
        </w:rPr>
        <w:t xml:space="preserve"> of </w:t>
      </w:r>
      <w:proofErr w:type="spellStart"/>
      <w:r w:rsidRPr="00B13B38">
        <w:rPr>
          <w:rFonts w:ascii="Times New Roman" w:hAnsi="Times New Roman" w:cs="Times New Roman"/>
          <w:lang w:val="pl-PL"/>
        </w:rPr>
        <w:t>Cultural</w:t>
      </w:r>
      <w:proofErr w:type="spellEnd"/>
      <w:r w:rsidRPr="00B13B38">
        <w:rPr>
          <w:rFonts w:ascii="Times New Roman" w:hAnsi="Times New Roman" w:cs="Times New Roman"/>
          <w:lang w:val="pl-PL"/>
        </w:rPr>
        <w:t xml:space="preserve"> and </w:t>
      </w:r>
      <w:proofErr w:type="spellStart"/>
      <w:r w:rsidRPr="00B13B38">
        <w:rPr>
          <w:rFonts w:ascii="Times New Roman" w:hAnsi="Times New Roman" w:cs="Times New Roman"/>
          <w:lang w:val="pl-PL"/>
        </w:rPr>
        <w:t>Social</w:t>
      </w:r>
      <w:proofErr w:type="spellEnd"/>
      <w:r w:rsidRPr="00B13B38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B13B38">
        <w:rPr>
          <w:rFonts w:ascii="Times New Roman" w:hAnsi="Times New Roman" w:cs="Times New Roman"/>
          <w:lang w:val="pl-PL"/>
        </w:rPr>
        <w:t>Norms</w:t>
      </w:r>
      <w:proofErr w:type="spellEnd"/>
      <w:r w:rsidRPr="00B13B38">
        <w:rPr>
          <w:rFonts w:ascii="Times New Roman" w:hAnsi="Times New Roman" w:cs="Times New Roman"/>
          <w:lang w:val="pl-PL"/>
        </w:rPr>
        <w:t xml:space="preserve"> on </w:t>
      </w:r>
      <w:proofErr w:type="spellStart"/>
      <w:r w:rsidRPr="00B13B38">
        <w:rPr>
          <w:rFonts w:ascii="Times New Roman" w:hAnsi="Times New Roman" w:cs="Times New Roman"/>
          <w:lang w:val="pl-PL"/>
        </w:rPr>
        <w:t>Entrepreneurship</w:t>
      </w:r>
      <w:proofErr w:type="spellEnd"/>
      <w:r w:rsidRPr="00B13B38">
        <w:rPr>
          <w:rFonts w:ascii="Times New Roman" w:hAnsi="Times New Roman" w:cs="Times New Roman"/>
          <w:lang w:val="pl-PL"/>
        </w:rPr>
        <w:t xml:space="preserve"> in the EU: Cross-Country </w:t>
      </w:r>
      <w:proofErr w:type="spellStart"/>
      <w:r w:rsidRPr="00B13B38">
        <w:rPr>
          <w:rFonts w:ascii="Times New Roman" w:hAnsi="Times New Roman" w:cs="Times New Roman"/>
          <w:lang w:val="pl-PL"/>
        </w:rPr>
        <w:t>Evidence</w:t>
      </w:r>
      <w:proofErr w:type="spellEnd"/>
      <w:r w:rsidRPr="00B13B38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B13B38">
        <w:rPr>
          <w:rFonts w:ascii="Times New Roman" w:hAnsi="Times New Roman" w:cs="Times New Roman"/>
          <w:lang w:val="pl-PL"/>
        </w:rPr>
        <w:t>based</w:t>
      </w:r>
      <w:proofErr w:type="spellEnd"/>
      <w:r w:rsidRPr="00B13B38">
        <w:rPr>
          <w:rFonts w:ascii="Times New Roman" w:hAnsi="Times New Roman" w:cs="Times New Roman"/>
          <w:lang w:val="pl-PL"/>
        </w:rPr>
        <w:t xml:space="preserve"> on GEM </w:t>
      </w:r>
      <w:proofErr w:type="spellStart"/>
      <w:r w:rsidRPr="00B13B38">
        <w:rPr>
          <w:rFonts w:ascii="Times New Roman" w:hAnsi="Times New Roman" w:cs="Times New Roman"/>
          <w:lang w:val="pl-PL"/>
        </w:rPr>
        <w:t>Survey</w:t>
      </w:r>
      <w:proofErr w:type="spellEnd"/>
      <w:r w:rsidRPr="00B13B38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B13B38">
        <w:rPr>
          <w:rFonts w:ascii="Times New Roman" w:hAnsi="Times New Roman" w:cs="Times New Roman"/>
          <w:lang w:val="pl-PL"/>
        </w:rPr>
        <w:t>Results</w:t>
      </w:r>
      <w:proofErr w:type="spellEnd"/>
      <w:r>
        <w:rPr>
          <w:rFonts w:ascii="Times New Roman" w:hAnsi="Times New Roman" w:cs="Times New Roman"/>
          <w:lang w:val="pl-PL"/>
        </w:rPr>
        <w:t>.</w:t>
      </w:r>
      <w:r w:rsidRPr="00B13B38">
        <w:rPr>
          <w:rFonts w:ascii="Times New Roman" w:hAnsi="Times New Roman" w:cs="Times New Roman"/>
          <w:lang w:val="pl-PL"/>
        </w:rPr>
        <w:t xml:space="preserve"> </w:t>
      </w:r>
      <w:r w:rsidRPr="00B13B38">
        <w:rPr>
          <w:rFonts w:ascii="Times New Roman" w:hAnsi="Times New Roman" w:cs="Times New Roman"/>
          <w:i/>
          <w:lang w:val="pl-PL"/>
        </w:rPr>
        <w:t>Zarządzanie w Kulturze</w:t>
      </w:r>
      <w:r w:rsidRPr="00B13B38">
        <w:rPr>
          <w:rFonts w:ascii="Times New Roman" w:hAnsi="Times New Roman" w:cs="Times New Roman"/>
          <w:lang w:val="pl-PL"/>
        </w:rPr>
        <w:t>, 16</w:t>
      </w:r>
      <w:r>
        <w:rPr>
          <w:rFonts w:ascii="Times New Roman" w:hAnsi="Times New Roman" w:cs="Times New Roman"/>
          <w:lang w:val="pl-PL"/>
        </w:rPr>
        <w:t>(</w:t>
      </w:r>
      <w:r w:rsidRPr="00B13B38">
        <w:rPr>
          <w:rFonts w:ascii="Times New Roman" w:hAnsi="Times New Roman" w:cs="Times New Roman"/>
          <w:lang w:val="pl-PL"/>
        </w:rPr>
        <w:t>1</w:t>
      </w:r>
      <w:r>
        <w:rPr>
          <w:rFonts w:ascii="Times New Roman" w:hAnsi="Times New Roman" w:cs="Times New Roman"/>
          <w:lang w:val="pl-PL"/>
        </w:rPr>
        <w:t>)</w:t>
      </w:r>
      <w:r w:rsidRPr="00B13B38">
        <w:rPr>
          <w:rFonts w:ascii="Times New Roman" w:hAnsi="Times New Roman" w:cs="Times New Roman"/>
          <w:lang w:val="pl-PL"/>
        </w:rPr>
        <w:t xml:space="preserve">, 15-29. </w:t>
      </w:r>
      <w:r>
        <w:rPr>
          <w:rFonts w:ascii="Times New Roman" w:hAnsi="Times New Roman" w:cs="Times New Roman"/>
          <w:lang w:val="pl-PL"/>
        </w:rPr>
        <w:t>doi</w:t>
      </w:r>
      <w:r w:rsidRPr="00B13B38">
        <w:rPr>
          <w:rFonts w:ascii="Times New Roman" w:hAnsi="Times New Roman" w:cs="Times New Roman"/>
          <w:lang w:val="pl-PL"/>
        </w:rPr>
        <w:t>: 10.4467/20843976ZK.15.002.3037</w:t>
      </w:r>
    </w:p>
    <w:p w:rsidR="00FD4C73" w:rsidRDefault="00D037CD" w:rsidP="00812227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D037CD">
        <w:rPr>
          <w:rFonts w:ascii="Times New Roman" w:hAnsi="Times New Roman" w:cs="Times New Roman"/>
          <w:lang w:val="pl-PL"/>
        </w:rPr>
        <w:t xml:space="preserve">Wach, </w:t>
      </w:r>
      <w:r>
        <w:rPr>
          <w:rFonts w:ascii="Times New Roman" w:hAnsi="Times New Roman" w:cs="Times New Roman"/>
          <w:lang w:val="pl-PL"/>
        </w:rPr>
        <w:t>K. (2015</w:t>
      </w:r>
      <w:r w:rsidR="00B13B38">
        <w:rPr>
          <w:rFonts w:ascii="Times New Roman" w:hAnsi="Times New Roman" w:cs="Times New Roman"/>
          <w:lang w:val="pl-PL"/>
        </w:rPr>
        <w:t>b</w:t>
      </w:r>
      <w:r>
        <w:rPr>
          <w:rFonts w:ascii="Times New Roman" w:hAnsi="Times New Roman" w:cs="Times New Roman"/>
          <w:lang w:val="pl-PL"/>
        </w:rPr>
        <w:t xml:space="preserve">). </w:t>
      </w:r>
      <w:r w:rsidRPr="00D037CD">
        <w:rPr>
          <w:rFonts w:ascii="Times New Roman" w:hAnsi="Times New Roman" w:cs="Times New Roman"/>
          <w:lang w:val="pl-PL"/>
        </w:rPr>
        <w:t>Środowisko biznesu rodzinnego jako stymulanta intencji przedsiębiorczych młodzieży akademickiej</w:t>
      </w:r>
      <w:r>
        <w:rPr>
          <w:rFonts w:ascii="Times New Roman" w:hAnsi="Times New Roman" w:cs="Times New Roman"/>
          <w:lang w:val="pl-PL"/>
        </w:rPr>
        <w:t>.</w:t>
      </w:r>
      <w:r w:rsidRPr="00D037CD">
        <w:rPr>
          <w:rFonts w:ascii="Times New Roman" w:hAnsi="Times New Roman" w:cs="Times New Roman"/>
          <w:lang w:val="pl-PL"/>
        </w:rPr>
        <w:t xml:space="preserve"> </w:t>
      </w:r>
      <w:r w:rsidRPr="00D037CD">
        <w:rPr>
          <w:rFonts w:ascii="Times New Roman" w:hAnsi="Times New Roman" w:cs="Times New Roman"/>
          <w:i/>
          <w:lang w:val="pl-PL"/>
        </w:rPr>
        <w:t>Przedsiębiorczość i Zarządzanie</w:t>
      </w:r>
      <w:r>
        <w:rPr>
          <w:rFonts w:ascii="Times New Roman" w:hAnsi="Times New Roman" w:cs="Times New Roman"/>
          <w:lang w:val="pl-PL"/>
        </w:rPr>
        <w:t xml:space="preserve">, </w:t>
      </w:r>
      <w:r w:rsidRPr="00D037CD">
        <w:rPr>
          <w:rFonts w:ascii="Times New Roman" w:hAnsi="Times New Roman" w:cs="Times New Roman"/>
          <w:lang w:val="pl-PL"/>
        </w:rPr>
        <w:t>XVI</w:t>
      </w:r>
      <w:r>
        <w:rPr>
          <w:rFonts w:ascii="Times New Roman" w:hAnsi="Times New Roman" w:cs="Times New Roman"/>
          <w:lang w:val="pl-PL"/>
        </w:rPr>
        <w:t>(</w:t>
      </w:r>
      <w:r w:rsidRPr="00D037CD">
        <w:rPr>
          <w:rFonts w:ascii="Times New Roman" w:hAnsi="Times New Roman" w:cs="Times New Roman"/>
          <w:lang w:val="pl-PL"/>
        </w:rPr>
        <w:t>7</w:t>
      </w:r>
      <w:r>
        <w:rPr>
          <w:rFonts w:ascii="Times New Roman" w:hAnsi="Times New Roman" w:cs="Times New Roman"/>
          <w:lang w:val="pl-PL"/>
        </w:rPr>
        <w:t>[</w:t>
      </w:r>
      <w:r w:rsidRPr="00D037CD">
        <w:rPr>
          <w:rFonts w:ascii="Times New Roman" w:hAnsi="Times New Roman" w:cs="Times New Roman"/>
          <w:lang w:val="pl-PL"/>
        </w:rPr>
        <w:t>III</w:t>
      </w:r>
      <w:r>
        <w:rPr>
          <w:rFonts w:ascii="Times New Roman" w:hAnsi="Times New Roman" w:cs="Times New Roman"/>
          <w:lang w:val="pl-PL"/>
        </w:rPr>
        <w:t>])</w:t>
      </w:r>
      <w:r w:rsidRPr="00D037CD">
        <w:rPr>
          <w:rFonts w:ascii="Times New Roman" w:hAnsi="Times New Roman" w:cs="Times New Roman"/>
          <w:lang w:val="pl-PL"/>
        </w:rPr>
        <w:t>,</w:t>
      </w:r>
      <w:r>
        <w:rPr>
          <w:rFonts w:ascii="Times New Roman" w:hAnsi="Times New Roman" w:cs="Times New Roman"/>
          <w:lang w:val="pl-PL"/>
        </w:rPr>
        <w:t xml:space="preserve"> </w:t>
      </w:r>
      <w:r w:rsidRPr="00D037CD">
        <w:rPr>
          <w:rFonts w:ascii="Times New Roman" w:hAnsi="Times New Roman" w:cs="Times New Roman"/>
          <w:lang w:val="pl-PL"/>
        </w:rPr>
        <w:t>25-40.</w:t>
      </w:r>
    </w:p>
    <w:p w:rsidR="002126D6" w:rsidRPr="00CC00EE" w:rsidRDefault="002126D6" w:rsidP="00D414B0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2126D6" w:rsidRPr="00CC00E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E1" w:rsidRDefault="00EF21E1" w:rsidP="001524E4">
      <w:pPr>
        <w:spacing w:after="0" w:line="240" w:lineRule="auto"/>
      </w:pPr>
      <w:r>
        <w:separator/>
      </w:r>
    </w:p>
  </w:endnote>
  <w:endnote w:type="continuationSeparator" w:id="0">
    <w:p w:rsidR="00EF21E1" w:rsidRDefault="00EF21E1" w:rsidP="0015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064"/>
      <w:docPartObj>
        <w:docPartGallery w:val="Page Numbers (Bottom of Page)"/>
        <w:docPartUnique/>
      </w:docPartObj>
    </w:sdtPr>
    <w:sdtEndPr/>
    <w:sdtContent>
      <w:p w:rsidR="00773451" w:rsidRDefault="007734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9F3" w:rsidRPr="003B49F3">
          <w:rPr>
            <w:noProof/>
            <w:lang w:val="pl-PL"/>
          </w:rPr>
          <w:t>10</w:t>
        </w:r>
        <w:r>
          <w:fldChar w:fldCharType="end"/>
        </w:r>
      </w:p>
    </w:sdtContent>
  </w:sdt>
  <w:p w:rsidR="00773451" w:rsidRDefault="007734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E1" w:rsidRDefault="00EF21E1" w:rsidP="001524E4">
      <w:pPr>
        <w:spacing w:after="0" w:line="240" w:lineRule="auto"/>
      </w:pPr>
      <w:r>
        <w:separator/>
      </w:r>
    </w:p>
  </w:footnote>
  <w:footnote w:type="continuationSeparator" w:id="0">
    <w:p w:rsidR="00EF21E1" w:rsidRDefault="00EF21E1" w:rsidP="001524E4">
      <w:pPr>
        <w:spacing w:after="0" w:line="240" w:lineRule="auto"/>
      </w:pPr>
      <w:r>
        <w:continuationSeparator/>
      </w:r>
    </w:p>
  </w:footnote>
  <w:footnote w:id="1">
    <w:p w:rsidR="009F1E3C" w:rsidRPr="00247722" w:rsidRDefault="009F1E3C" w:rsidP="0028039D">
      <w:pPr>
        <w:pStyle w:val="Tekstprzypisudolnego"/>
        <w:spacing w:before="0"/>
        <w:jc w:val="both"/>
        <w:rPr>
          <w:rFonts w:cs="Times New Roman"/>
          <w:color w:val="FF0000"/>
        </w:rPr>
      </w:pPr>
      <w:r w:rsidRPr="00E1265D">
        <w:rPr>
          <w:rStyle w:val="Odwoanieprzypisudolnego"/>
          <w:rFonts w:cs="Times New Roman"/>
          <w:color w:val="FF0000"/>
          <w:highlight w:val="yellow"/>
        </w:rPr>
        <w:footnoteRef/>
      </w:r>
      <w:r w:rsidRPr="00E1265D">
        <w:rPr>
          <w:rFonts w:cs="Times New Roman"/>
          <w:color w:val="FF0000"/>
        </w:rPr>
        <w:t xml:space="preserve"> </w:t>
      </w:r>
      <w:r w:rsidRPr="00073C15">
        <w:rPr>
          <w:rFonts w:cs="Times New Roman"/>
          <w:lang w:val="pl-PL"/>
        </w:rPr>
        <w:t>Artykuł powstał w ramach projektu badawczego nr 054/WE-KPI/02/2015/S/5054 pt. „Przedsiębiorczość inkluzywna: współczesne wyzwania i perspektywy rozwoju” sfinansowanego ze środków przyznanych Wydziałowi Ekonomii i Stosunków Międzynarodowych Uniwersytetu Ekonomicznego w Krakowie, w ramach dotacji na utrzymanie potencjału badawczego.</w:t>
      </w:r>
    </w:p>
  </w:footnote>
  <w:footnote w:id="2">
    <w:p w:rsidR="00E1265D" w:rsidRPr="00E1265D" w:rsidRDefault="00E1265D" w:rsidP="00BB73F2">
      <w:pPr>
        <w:pStyle w:val="Tekstprzypisudolnego"/>
        <w:spacing w:before="0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Inspiracją do napisania artykułu, jak i do zrealizowania projektu badań statutowych w polskich realiach w tym zakresie było</w:t>
      </w:r>
      <w:r w:rsidR="0009637A">
        <w:rPr>
          <w:lang w:val="pl-PL"/>
        </w:rPr>
        <w:t xml:space="preserve"> zaproszenie mnie w 2012 roku przez OECD w charakterze krajowego eksperta do spraw przedsiębiorczości do pierwszego</w:t>
      </w:r>
      <w:r w:rsidR="006C6F7C">
        <w:rPr>
          <w:lang w:val="pl-PL"/>
        </w:rPr>
        <w:t>,</w:t>
      </w:r>
      <w:r w:rsidR="0009637A">
        <w:rPr>
          <w:lang w:val="pl-PL"/>
        </w:rPr>
        <w:t xml:space="preserve"> na taką skalę</w:t>
      </w:r>
      <w:r w:rsidR="006C6F7C">
        <w:rPr>
          <w:lang w:val="pl-PL"/>
        </w:rPr>
        <w:t>,</w:t>
      </w:r>
      <w:r w:rsidR="0009637A">
        <w:rPr>
          <w:lang w:val="pl-PL"/>
        </w:rPr>
        <w:t xml:space="preserve"> europejskiego projektu na temat przedsiębiorczości inkluzywnej realizowanego na zlecenie Komisji Europejskiej. </w:t>
      </w:r>
    </w:p>
  </w:footnote>
  <w:footnote w:id="3">
    <w:p w:rsidR="00BB73F2" w:rsidRPr="00BB73F2" w:rsidRDefault="00BB73F2" w:rsidP="00BB73F2">
      <w:pPr>
        <w:pStyle w:val="Tekstprzypisudolnego"/>
        <w:spacing w:before="0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Jako miarę przedsiębiorczości stosuje się najczęściej liczbę przedsiębiorstw (względnie liczbę małych i średnich przedsiębiorstw bez dużych) w przeliczeniu na 1000 mieszkańców.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41E"/>
    <w:multiLevelType w:val="hybridMultilevel"/>
    <w:tmpl w:val="7512AEDA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5F5E5995"/>
    <w:multiLevelType w:val="hybridMultilevel"/>
    <w:tmpl w:val="C98C8224"/>
    <w:lvl w:ilvl="0" w:tplc="ECD8E138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79E2CB8"/>
    <w:multiLevelType w:val="hybridMultilevel"/>
    <w:tmpl w:val="E96EA3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DF"/>
    <w:rsid w:val="00001A61"/>
    <w:rsid w:val="00005BA3"/>
    <w:rsid w:val="00012C84"/>
    <w:rsid w:val="00014BB2"/>
    <w:rsid w:val="00016FC7"/>
    <w:rsid w:val="00020D81"/>
    <w:rsid w:val="00030172"/>
    <w:rsid w:val="00041F8D"/>
    <w:rsid w:val="0004268F"/>
    <w:rsid w:val="00045436"/>
    <w:rsid w:val="00050086"/>
    <w:rsid w:val="00050BE6"/>
    <w:rsid w:val="0006509E"/>
    <w:rsid w:val="00075F3D"/>
    <w:rsid w:val="00081168"/>
    <w:rsid w:val="0009637A"/>
    <w:rsid w:val="000A287C"/>
    <w:rsid w:val="000F67AD"/>
    <w:rsid w:val="00101102"/>
    <w:rsid w:val="00142FD0"/>
    <w:rsid w:val="00144D74"/>
    <w:rsid w:val="00147FD4"/>
    <w:rsid w:val="001524E4"/>
    <w:rsid w:val="0015647B"/>
    <w:rsid w:val="001873B8"/>
    <w:rsid w:val="001A52F6"/>
    <w:rsid w:val="001B5E34"/>
    <w:rsid w:val="001B63D7"/>
    <w:rsid w:val="001C7318"/>
    <w:rsid w:val="001D504D"/>
    <w:rsid w:val="001D6C4F"/>
    <w:rsid w:val="001E06EB"/>
    <w:rsid w:val="001E4432"/>
    <w:rsid w:val="002126D6"/>
    <w:rsid w:val="0022449E"/>
    <w:rsid w:val="002263B6"/>
    <w:rsid w:val="0024545A"/>
    <w:rsid w:val="0025190D"/>
    <w:rsid w:val="00254018"/>
    <w:rsid w:val="00262543"/>
    <w:rsid w:val="00263588"/>
    <w:rsid w:val="00264B61"/>
    <w:rsid w:val="002763B5"/>
    <w:rsid w:val="0028039D"/>
    <w:rsid w:val="002844B0"/>
    <w:rsid w:val="002857D4"/>
    <w:rsid w:val="00286440"/>
    <w:rsid w:val="002A1B62"/>
    <w:rsid w:val="002A41B5"/>
    <w:rsid w:val="002A42E3"/>
    <w:rsid w:val="002B69DB"/>
    <w:rsid w:val="002B7857"/>
    <w:rsid w:val="002C1D38"/>
    <w:rsid w:val="002C4B4D"/>
    <w:rsid w:val="002C7344"/>
    <w:rsid w:val="002D1963"/>
    <w:rsid w:val="002D3902"/>
    <w:rsid w:val="002E6673"/>
    <w:rsid w:val="002F2AF0"/>
    <w:rsid w:val="002F777B"/>
    <w:rsid w:val="002F7989"/>
    <w:rsid w:val="00304750"/>
    <w:rsid w:val="00310821"/>
    <w:rsid w:val="0031183A"/>
    <w:rsid w:val="00323CBE"/>
    <w:rsid w:val="00323CFB"/>
    <w:rsid w:val="00326C5A"/>
    <w:rsid w:val="00337187"/>
    <w:rsid w:val="0035381B"/>
    <w:rsid w:val="00356865"/>
    <w:rsid w:val="003638CA"/>
    <w:rsid w:val="0037625D"/>
    <w:rsid w:val="00377243"/>
    <w:rsid w:val="00380093"/>
    <w:rsid w:val="00390673"/>
    <w:rsid w:val="00396D7D"/>
    <w:rsid w:val="00397CAB"/>
    <w:rsid w:val="003B49F3"/>
    <w:rsid w:val="003B60EA"/>
    <w:rsid w:val="003B6B2B"/>
    <w:rsid w:val="003B7241"/>
    <w:rsid w:val="003B746B"/>
    <w:rsid w:val="003C2568"/>
    <w:rsid w:val="003C53AD"/>
    <w:rsid w:val="003C5734"/>
    <w:rsid w:val="003D1CE3"/>
    <w:rsid w:val="003D23F4"/>
    <w:rsid w:val="003D2816"/>
    <w:rsid w:val="003E68F3"/>
    <w:rsid w:val="003F0CA1"/>
    <w:rsid w:val="003F72B0"/>
    <w:rsid w:val="0040280B"/>
    <w:rsid w:val="00405519"/>
    <w:rsid w:val="00410909"/>
    <w:rsid w:val="00411568"/>
    <w:rsid w:val="00420447"/>
    <w:rsid w:val="0042279A"/>
    <w:rsid w:val="00423D5B"/>
    <w:rsid w:val="00435A3B"/>
    <w:rsid w:val="00436FAC"/>
    <w:rsid w:val="00442BA9"/>
    <w:rsid w:val="00446CCE"/>
    <w:rsid w:val="00454EB7"/>
    <w:rsid w:val="00464FCD"/>
    <w:rsid w:val="00470A12"/>
    <w:rsid w:val="004A62DA"/>
    <w:rsid w:val="004A6A37"/>
    <w:rsid w:val="004C27AF"/>
    <w:rsid w:val="004D7F15"/>
    <w:rsid w:val="004E5B85"/>
    <w:rsid w:val="004E737D"/>
    <w:rsid w:val="00502AD6"/>
    <w:rsid w:val="00510AC8"/>
    <w:rsid w:val="00511250"/>
    <w:rsid w:val="00515CFA"/>
    <w:rsid w:val="005168C3"/>
    <w:rsid w:val="0052353C"/>
    <w:rsid w:val="005265BD"/>
    <w:rsid w:val="005330A0"/>
    <w:rsid w:val="00551250"/>
    <w:rsid w:val="005564AC"/>
    <w:rsid w:val="005606B9"/>
    <w:rsid w:val="005622DC"/>
    <w:rsid w:val="00570B73"/>
    <w:rsid w:val="005940EC"/>
    <w:rsid w:val="0059703C"/>
    <w:rsid w:val="005A3D4D"/>
    <w:rsid w:val="005B0D02"/>
    <w:rsid w:val="005B7843"/>
    <w:rsid w:val="005E07BB"/>
    <w:rsid w:val="005E2FE6"/>
    <w:rsid w:val="00611762"/>
    <w:rsid w:val="00644AD6"/>
    <w:rsid w:val="006622A2"/>
    <w:rsid w:val="006823E9"/>
    <w:rsid w:val="006B7BA8"/>
    <w:rsid w:val="006C141A"/>
    <w:rsid w:val="006C68D6"/>
    <w:rsid w:val="006C6F7C"/>
    <w:rsid w:val="007003B3"/>
    <w:rsid w:val="00716A69"/>
    <w:rsid w:val="0072274F"/>
    <w:rsid w:val="00723FBC"/>
    <w:rsid w:val="00727362"/>
    <w:rsid w:val="007302F2"/>
    <w:rsid w:val="00732C9F"/>
    <w:rsid w:val="00734DC6"/>
    <w:rsid w:val="00737315"/>
    <w:rsid w:val="00754D91"/>
    <w:rsid w:val="00757ED2"/>
    <w:rsid w:val="00760728"/>
    <w:rsid w:val="00763103"/>
    <w:rsid w:val="00763FFA"/>
    <w:rsid w:val="007665C7"/>
    <w:rsid w:val="00771E21"/>
    <w:rsid w:val="00773451"/>
    <w:rsid w:val="00777E38"/>
    <w:rsid w:val="007802BA"/>
    <w:rsid w:val="00781791"/>
    <w:rsid w:val="00785A0F"/>
    <w:rsid w:val="007873F1"/>
    <w:rsid w:val="00792055"/>
    <w:rsid w:val="007965C7"/>
    <w:rsid w:val="007C071C"/>
    <w:rsid w:val="007C15A0"/>
    <w:rsid w:val="007C283C"/>
    <w:rsid w:val="007C5FF1"/>
    <w:rsid w:val="007C7098"/>
    <w:rsid w:val="007D09CB"/>
    <w:rsid w:val="007D305E"/>
    <w:rsid w:val="007D3C0E"/>
    <w:rsid w:val="007D43E3"/>
    <w:rsid w:val="007F4534"/>
    <w:rsid w:val="007F4C25"/>
    <w:rsid w:val="0080554B"/>
    <w:rsid w:val="00812227"/>
    <w:rsid w:val="008164B0"/>
    <w:rsid w:val="00820E9B"/>
    <w:rsid w:val="00823B46"/>
    <w:rsid w:val="008242B6"/>
    <w:rsid w:val="00827ABE"/>
    <w:rsid w:val="0083148F"/>
    <w:rsid w:val="00846BCD"/>
    <w:rsid w:val="008549FC"/>
    <w:rsid w:val="008711E7"/>
    <w:rsid w:val="00877DCE"/>
    <w:rsid w:val="00883019"/>
    <w:rsid w:val="008A251F"/>
    <w:rsid w:val="008B15E5"/>
    <w:rsid w:val="008B38C8"/>
    <w:rsid w:val="008B5063"/>
    <w:rsid w:val="008B79F8"/>
    <w:rsid w:val="008C1D97"/>
    <w:rsid w:val="008C7B72"/>
    <w:rsid w:val="008D1BD6"/>
    <w:rsid w:val="008D1DB8"/>
    <w:rsid w:val="008D40F1"/>
    <w:rsid w:val="008E67F7"/>
    <w:rsid w:val="00907FAA"/>
    <w:rsid w:val="00912BC0"/>
    <w:rsid w:val="0091458A"/>
    <w:rsid w:val="009341C1"/>
    <w:rsid w:val="00934D8C"/>
    <w:rsid w:val="00935E01"/>
    <w:rsid w:val="0094228E"/>
    <w:rsid w:val="00952313"/>
    <w:rsid w:val="00970BB0"/>
    <w:rsid w:val="0097276D"/>
    <w:rsid w:val="00980BD9"/>
    <w:rsid w:val="00981F1E"/>
    <w:rsid w:val="009962B7"/>
    <w:rsid w:val="009A0EAA"/>
    <w:rsid w:val="009B4504"/>
    <w:rsid w:val="009C31D2"/>
    <w:rsid w:val="009F1E3C"/>
    <w:rsid w:val="00A0447A"/>
    <w:rsid w:val="00A13ADB"/>
    <w:rsid w:val="00A25897"/>
    <w:rsid w:val="00A338D2"/>
    <w:rsid w:val="00A3729B"/>
    <w:rsid w:val="00A71A91"/>
    <w:rsid w:val="00A80496"/>
    <w:rsid w:val="00A83853"/>
    <w:rsid w:val="00A85361"/>
    <w:rsid w:val="00A857AD"/>
    <w:rsid w:val="00AA2038"/>
    <w:rsid w:val="00AB2C62"/>
    <w:rsid w:val="00AB395F"/>
    <w:rsid w:val="00AC1290"/>
    <w:rsid w:val="00AC5644"/>
    <w:rsid w:val="00AC670A"/>
    <w:rsid w:val="00AD18EC"/>
    <w:rsid w:val="00AD2788"/>
    <w:rsid w:val="00AD4F9B"/>
    <w:rsid w:val="00AE35DF"/>
    <w:rsid w:val="00AF0E39"/>
    <w:rsid w:val="00B039A0"/>
    <w:rsid w:val="00B13B38"/>
    <w:rsid w:val="00B13BE9"/>
    <w:rsid w:val="00B17075"/>
    <w:rsid w:val="00B207F1"/>
    <w:rsid w:val="00B36E15"/>
    <w:rsid w:val="00B3722B"/>
    <w:rsid w:val="00B460F9"/>
    <w:rsid w:val="00B5045A"/>
    <w:rsid w:val="00B51789"/>
    <w:rsid w:val="00B71C2B"/>
    <w:rsid w:val="00B77A15"/>
    <w:rsid w:val="00B9233E"/>
    <w:rsid w:val="00B932BA"/>
    <w:rsid w:val="00BA205E"/>
    <w:rsid w:val="00BA4AEB"/>
    <w:rsid w:val="00BB73F2"/>
    <w:rsid w:val="00BC1EF5"/>
    <w:rsid w:val="00BC1F69"/>
    <w:rsid w:val="00BC3989"/>
    <w:rsid w:val="00BC76FE"/>
    <w:rsid w:val="00BD66B3"/>
    <w:rsid w:val="00BD6CB5"/>
    <w:rsid w:val="00BE4EA1"/>
    <w:rsid w:val="00BE5AF2"/>
    <w:rsid w:val="00BF237F"/>
    <w:rsid w:val="00BF7F5A"/>
    <w:rsid w:val="00C008FC"/>
    <w:rsid w:val="00C032B6"/>
    <w:rsid w:val="00C124DB"/>
    <w:rsid w:val="00C13E9A"/>
    <w:rsid w:val="00C14CCC"/>
    <w:rsid w:val="00C228FA"/>
    <w:rsid w:val="00C23CB4"/>
    <w:rsid w:val="00C25E7C"/>
    <w:rsid w:val="00C41846"/>
    <w:rsid w:val="00C57EDE"/>
    <w:rsid w:val="00C63F62"/>
    <w:rsid w:val="00C66B78"/>
    <w:rsid w:val="00C71C3F"/>
    <w:rsid w:val="00C85A7B"/>
    <w:rsid w:val="00C90811"/>
    <w:rsid w:val="00C90B7B"/>
    <w:rsid w:val="00C95EF6"/>
    <w:rsid w:val="00CA2AA0"/>
    <w:rsid w:val="00CA3AA9"/>
    <w:rsid w:val="00CA6C0C"/>
    <w:rsid w:val="00CB51E3"/>
    <w:rsid w:val="00CC00EE"/>
    <w:rsid w:val="00CC03D1"/>
    <w:rsid w:val="00CC4A9B"/>
    <w:rsid w:val="00CC4E4D"/>
    <w:rsid w:val="00CC4F82"/>
    <w:rsid w:val="00CD0206"/>
    <w:rsid w:val="00CD49AA"/>
    <w:rsid w:val="00CD6CF7"/>
    <w:rsid w:val="00CD7977"/>
    <w:rsid w:val="00CE5A51"/>
    <w:rsid w:val="00D0280E"/>
    <w:rsid w:val="00D037CD"/>
    <w:rsid w:val="00D053A2"/>
    <w:rsid w:val="00D13A12"/>
    <w:rsid w:val="00D14084"/>
    <w:rsid w:val="00D178DC"/>
    <w:rsid w:val="00D239E0"/>
    <w:rsid w:val="00D414B0"/>
    <w:rsid w:val="00D423E6"/>
    <w:rsid w:val="00D43913"/>
    <w:rsid w:val="00D45674"/>
    <w:rsid w:val="00D63483"/>
    <w:rsid w:val="00D72121"/>
    <w:rsid w:val="00D763D7"/>
    <w:rsid w:val="00DB108C"/>
    <w:rsid w:val="00DE017E"/>
    <w:rsid w:val="00DE4702"/>
    <w:rsid w:val="00DF39AE"/>
    <w:rsid w:val="00E0674D"/>
    <w:rsid w:val="00E1162B"/>
    <w:rsid w:val="00E1265D"/>
    <w:rsid w:val="00E1646C"/>
    <w:rsid w:val="00E235FE"/>
    <w:rsid w:val="00E30330"/>
    <w:rsid w:val="00E32861"/>
    <w:rsid w:val="00E358B8"/>
    <w:rsid w:val="00E36A6E"/>
    <w:rsid w:val="00E410DA"/>
    <w:rsid w:val="00E469DB"/>
    <w:rsid w:val="00E50100"/>
    <w:rsid w:val="00E625E5"/>
    <w:rsid w:val="00E638BE"/>
    <w:rsid w:val="00E7289A"/>
    <w:rsid w:val="00E7576C"/>
    <w:rsid w:val="00E82268"/>
    <w:rsid w:val="00E8335F"/>
    <w:rsid w:val="00E84959"/>
    <w:rsid w:val="00E90A7B"/>
    <w:rsid w:val="00E94626"/>
    <w:rsid w:val="00E97559"/>
    <w:rsid w:val="00EA091C"/>
    <w:rsid w:val="00EA3D5F"/>
    <w:rsid w:val="00EB3913"/>
    <w:rsid w:val="00EC6A94"/>
    <w:rsid w:val="00ED1FA4"/>
    <w:rsid w:val="00EE33EE"/>
    <w:rsid w:val="00EE5DFE"/>
    <w:rsid w:val="00EF21E1"/>
    <w:rsid w:val="00EF7306"/>
    <w:rsid w:val="00EF75C7"/>
    <w:rsid w:val="00F11589"/>
    <w:rsid w:val="00F12E0E"/>
    <w:rsid w:val="00F173AF"/>
    <w:rsid w:val="00F24E4E"/>
    <w:rsid w:val="00F3095D"/>
    <w:rsid w:val="00F3449C"/>
    <w:rsid w:val="00F4032E"/>
    <w:rsid w:val="00F44D51"/>
    <w:rsid w:val="00F501F8"/>
    <w:rsid w:val="00F65D6F"/>
    <w:rsid w:val="00F97B3E"/>
    <w:rsid w:val="00FB498B"/>
    <w:rsid w:val="00FD1F93"/>
    <w:rsid w:val="00FD4C73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6D6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B62"/>
    <w:rPr>
      <w:rFonts w:ascii="Tahoma" w:hAnsi="Tahoma" w:cs="Tahoma"/>
      <w:sz w:val="16"/>
      <w:szCs w:val="16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2126D6"/>
    <w:rPr>
      <w:rFonts w:ascii="Times New Roman" w:eastAsiaTheme="majorEastAsia" w:hAnsi="Times New Roman" w:cstheme="majorBidi"/>
      <w:b/>
      <w:sz w:val="24"/>
      <w:szCs w:val="32"/>
      <w:lang w:val="de-AT"/>
    </w:rPr>
  </w:style>
  <w:style w:type="paragraph" w:styleId="Tekstprzypisudolnego">
    <w:name w:val="footnote text"/>
    <w:aliases w:val="Tekst przypisu,single space,footnote text,FOOTNOTES,fn,Podrozdział,Fußnote,Footnote,Podrozdzia3,przypis,Schriftart: 9 pt,Schriftart: 10 pt,Schriftart: 8 pt,WB-Fußnotentext,Footnotes,Footnote ak,Text poznámky pod čiarou Char Char"/>
    <w:basedOn w:val="Normalny"/>
    <w:link w:val="TekstprzypisudolnegoZnak"/>
    <w:unhideWhenUsed/>
    <w:qFormat/>
    <w:rsid w:val="002126D6"/>
    <w:pPr>
      <w:spacing w:before="240" w:after="0" w:line="240" w:lineRule="auto"/>
    </w:pPr>
    <w:rPr>
      <w:rFonts w:ascii="Times New Roman" w:hAnsi="Times New Roman"/>
      <w:sz w:val="20"/>
      <w:szCs w:val="20"/>
      <w:lang w:val="de-AT"/>
    </w:rPr>
  </w:style>
  <w:style w:type="character" w:customStyle="1" w:styleId="TekstprzypisudolnegoZnak">
    <w:name w:val="Tekst przypisu dolnego Znak"/>
    <w:aliases w:val="Tekst przypisu Znak,single space Znak,footnote text Znak,FOOTNOTES Znak,fn Znak,Podrozdział Znak,Fußnote Znak,Footnote Znak,Podrozdzia3 Znak,przypis Znak,Schriftart: 9 pt Znak,Schriftart: 10 pt Znak,Schriftart: 8 pt Znak"/>
    <w:basedOn w:val="Domylnaczcionkaakapitu"/>
    <w:link w:val="Tekstprzypisudolnego"/>
    <w:rsid w:val="002126D6"/>
    <w:rPr>
      <w:rFonts w:ascii="Times New Roman" w:hAnsi="Times New Roman"/>
      <w:sz w:val="20"/>
      <w:szCs w:val="20"/>
      <w:lang w:val="de-AT"/>
    </w:rPr>
  </w:style>
  <w:style w:type="character" w:customStyle="1" w:styleId="st">
    <w:name w:val="st"/>
    <w:basedOn w:val="Domylnaczcionkaakapitu"/>
    <w:rsid w:val="002126D6"/>
  </w:style>
  <w:style w:type="character" w:styleId="Odwoanieprzypisudolnego">
    <w:name w:val="footnote reference"/>
    <w:aliases w:val="Odwołanie przypisu,Footnote Reference Number"/>
    <w:basedOn w:val="Domylnaczcionkaakapitu"/>
    <w:unhideWhenUsed/>
    <w:rsid w:val="001524E4"/>
    <w:rPr>
      <w:vertAlign w:val="superscript"/>
    </w:rPr>
  </w:style>
  <w:style w:type="table" w:styleId="Jasnecieniowanie">
    <w:name w:val="Light Shading"/>
    <w:basedOn w:val="Standardowy"/>
    <w:uiPriority w:val="60"/>
    <w:rsid w:val="00CA6C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77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451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7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451"/>
    <w:rPr>
      <w:lang w:val="en-GB"/>
    </w:rPr>
  </w:style>
  <w:style w:type="paragraph" w:styleId="Akapitzlist">
    <w:name w:val="List Paragraph"/>
    <w:basedOn w:val="Normalny"/>
    <w:uiPriority w:val="34"/>
    <w:qFormat/>
    <w:rsid w:val="00CC4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6D6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B62"/>
    <w:rPr>
      <w:rFonts w:ascii="Tahoma" w:hAnsi="Tahoma" w:cs="Tahoma"/>
      <w:sz w:val="16"/>
      <w:szCs w:val="16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2126D6"/>
    <w:rPr>
      <w:rFonts w:ascii="Times New Roman" w:eastAsiaTheme="majorEastAsia" w:hAnsi="Times New Roman" w:cstheme="majorBidi"/>
      <w:b/>
      <w:sz w:val="24"/>
      <w:szCs w:val="32"/>
      <w:lang w:val="de-AT"/>
    </w:rPr>
  </w:style>
  <w:style w:type="paragraph" w:styleId="Tekstprzypisudolnego">
    <w:name w:val="footnote text"/>
    <w:aliases w:val="Tekst przypisu,single space,footnote text,FOOTNOTES,fn,Podrozdział,Fußnote,Footnote,Podrozdzia3,przypis,Schriftart: 9 pt,Schriftart: 10 pt,Schriftart: 8 pt,WB-Fußnotentext,Footnotes,Footnote ak,Text poznámky pod čiarou Char Char"/>
    <w:basedOn w:val="Normalny"/>
    <w:link w:val="TekstprzypisudolnegoZnak"/>
    <w:unhideWhenUsed/>
    <w:qFormat/>
    <w:rsid w:val="002126D6"/>
    <w:pPr>
      <w:spacing w:before="240" w:after="0" w:line="240" w:lineRule="auto"/>
    </w:pPr>
    <w:rPr>
      <w:rFonts w:ascii="Times New Roman" w:hAnsi="Times New Roman"/>
      <w:sz w:val="20"/>
      <w:szCs w:val="20"/>
      <w:lang w:val="de-AT"/>
    </w:rPr>
  </w:style>
  <w:style w:type="character" w:customStyle="1" w:styleId="TekstprzypisudolnegoZnak">
    <w:name w:val="Tekst przypisu dolnego Znak"/>
    <w:aliases w:val="Tekst przypisu Znak,single space Znak,footnote text Znak,FOOTNOTES Znak,fn Znak,Podrozdział Znak,Fußnote Znak,Footnote Znak,Podrozdzia3 Znak,przypis Znak,Schriftart: 9 pt Znak,Schriftart: 10 pt Znak,Schriftart: 8 pt Znak"/>
    <w:basedOn w:val="Domylnaczcionkaakapitu"/>
    <w:link w:val="Tekstprzypisudolnego"/>
    <w:rsid w:val="002126D6"/>
    <w:rPr>
      <w:rFonts w:ascii="Times New Roman" w:hAnsi="Times New Roman"/>
      <w:sz w:val="20"/>
      <w:szCs w:val="20"/>
      <w:lang w:val="de-AT"/>
    </w:rPr>
  </w:style>
  <w:style w:type="character" w:customStyle="1" w:styleId="st">
    <w:name w:val="st"/>
    <w:basedOn w:val="Domylnaczcionkaakapitu"/>
    <w:rsid w:val="002126D6"/>
  </w:style>
  <w:style w:type="character" w:styleId="Odwoanieprzypisudolnego">
    <w:name w:val="footnote reference"/>
    <w:aliases w:val="Odwołanie przypisu,Footnote Reference Number"/>
    <w:basedOn w:val="Domylnaczcionkaakapitu"/>
    <w:unhideWhenUsed/>
    <w:rsid w:val="001524E4"/>
    <w:rPr>
      <w:vertAlign w:val="superscript"/>
    </w:rPr>
  </w:style>
  <w:style w:type="table" w:styleId="Jasnecieniowanie">
    <w:name w:val="Light Shading"/>
    <w:basedOn w:val="Standardowy"/>
    <w:uiPriority w:val="60"/>
    <w:rsid w:val="00CA6C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77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451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7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451"/>
    <w:rPr>
      <w:lang w:val="en-GB"/>
    </w:rPr>
  </w:style>
  <w:style w:type="paragraph" w:styleId="Akapitzlist">
    <w:name w:val="List Paragraph"/>
    <w:basedOn w:val="Normalny"/>
    <w:uiPriority w:val="34"/>
    <w:qFormat/>
    <w:rsid w:val="00CC4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w\Documents\A%20-%20UEK\ARTYKULY%20&amp;%20PUBLIKACJE\ARTYKULY%20AKTUALNE\2015%20HW%20Przedsi&#281;biorczo&#347;&#263;%20senior&#243;w\Rysunek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15"/>
            <c:invertIfNegative val="0"/>
            <c:bubble3D val="0"/>
            <c:spPr>
              <a:solidFill>
                <a:srgbClr val="FF3300"/>
              </a:solidFill>
            </c:spPr>
          </c:dPt>
          <c:dPt>
            <c:idx val="25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26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27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28"/>
            <c:invertIfNegative val="0"/>
            <c:bubble3D val="0"/>
            <c:spPr>
              <a:solidFill>
                <a:schemeClr val="tx1"/>
              </a:solidFill>
            </c:spPr>
          </c:dPt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Arkusz1!$A$1:$A$29</c:f>
              <c:strCache>
                <c:ptCount val="29"/>
                <c:pt idx="0">
                  <c:v>Słowacja</c:v>
                </c:pt>
                <c:pt idx="1">
                  <c:v>Litwa</c:v>
                </c:pt>
                <c:pt idx="2">
                  <c:v>Estonia</c:v>
                </c:pt>
                <c:pt idx="3">
                  <c:v>Francja</c:v>
                </c:pt>
                <c:pt idx="4">
                  <c:v>Polska</c:v>
                </c:pt>
                <c:pt idx="5">
                  <c:v>Chorwacja</c:v>
                </c:pt>
                <c:pt idx="6">
                  <c:v>Czechy</c:v>
                </c:pt>
                <c:pt idx="7">
                  <c:v>Hiszpania</c:v>
                </c:pt>
                <c:pt idx="8">
                  <c:v>Rumunia</c:v>
                </c:pt>
                <c:pt idx="9">
                  <c:v>Portugalia</c:v>
                </c:pt>
                <c:pt idx="10">
                  <c:v>Słowenia</c:v>
                </c:pt>
                <c:pt idx="11">
                  <c:v>Macedonia</c:v>
                </c:pt>
                <c:pt idx="12">
                  <c:v>Holandia</c:v>
                </c:pt>
                <c:pt idx="13">
                  <c:v>Irlandia</c:v>
                </c:pt>
                <c:pt idx="14">
                  <c:v>Bośnia i Hercegowina</c:v>
                </c:pt>
                <c:pt idx="15">
                  <c:v>AVERAGE</c:v>
                </c:pt>
                <c:pt idx="16">
                  <c:v>Węgry</c:v>
                </c:pt>
                <c:pt idx="17">
                  <c:v>Niemcy</c:v>
                </c:pt>
                <c:pt idx="18">
                  <c:v>Rosja</c:v>
                </c:pt>
                <c:pt idx="19">
                  <c:v>Belgia</c:v>
                </c:pt>
                <c:pt idx="20">
                  <c:v>Grecja</c:v>
                </c:pt>
                <c:pt idx="21">
                  <c:v>Włochy</c:v>
                </c:pt>
                <c:pt idx="22">
                  <c:v>Szwajcaria</c:v>
                </c:pt>
                <c:pt idx="23">
                  <c:v>Wielka Brytnia</c:v>
                </c:pt>
                <c:pt idx="24">
                  <c:v>Luksemburg</c:v>
                </c:pt>
                <c:pt idx="25">
                  <c:v>Finlandia</c:v>
                </c:pt>
                <c:pt idx="26">
                  <c:v>Łotwa</c:v>
                </c:pt>
                <c:pt idx="27">
                  <c:v>Norwegia</c:v>
                </c:pt>
                <c:pt idx="28">
                  <c:v>Szwecja</c:v>
                </c:pt>
              </c:strCache>
            </c:strRef>
          </c:cat>
          <c:val>
            <c:numRef>
              <c:f>Arkusz1!$B$1:$B$29</c:f>
              <c:numCache>
                <c:formatCode>0.00</c:formatCode>
                <c:ptCount val="29"/>
                <c:pt idx="0">
                  <c:v>0.21</c:v>
                </c:pt>
                <c:pt idx="1">
                  <c:v>0.26</c:v>
                </c:pt>
                <c:pt idx="2">
                  <c:v>0.3</c:v>
                </c:pt>
                <c:pt idx="3">
                  <c:v>0.31</c:v>
                </c:pt>
                <c:pt idx="4">
                  <c:v>0.32</c:v>
                </c:pt>
                <c:pt idx="5">
                  <c:v>0.32</c:v>
                </c:pt>
                <c:pt idx="6">
                  <c:v>0.37</c:v>
                </c:pt>
                <c:pt idx="7">
                  <c:v>0.37</c:v>
                </c:pt>
                <c:pt idx="8">
                  <c:v>0.39</c:v>
                </c:pt>
                <c:pt idx="9">
                  <c:v>0.41</c:v>
                </c:pt>
                <c:pt idx="10">
                  <c:v>0.41</c:v>
                </c:pt>
                <c:pt idx="11">
                  <c:v>0.46</c:v>
                </c:pt>
                <c:pt idx="12">
                  <c:v>0.48</c:v>
                </c:pt>
                <c:pt idx="13">
                  <c:v>0.5</c:v>
                </c:pt>
                <c:pt idx="14">
                  <c:v>0.5</c:v>
                </c:pt>
                <c:pt idx="15">
                  <c:v>0.5</c:v>
                </c:pt>
                <c:pt idx="16">
                  <c:v>0.51</c:v>
                </c:pt>
                <c:pt idx="17">
                  <c:v>0.53</c:v>
                </c:pt>
                <c:pt idx="18">
                  <c:v>0.54</c:v>
                </c:pt>
                <c:pt idx="19">
                  <c:v>0.55000000000000004</c:v>
                </c:pt>
                <c:pt idx="20">
                  <c:v>0.59</c:v>
                </c:pt>
                <c:pt idx="21">
                  <c:v>0.6</c:v>
                </c:pt>
                <c:pt idx="22">
                  <c:v>0.6</c:v>
                </c:pt>
                <c:pt idx="23">
                  <c:v>0.63</c:v>
                </c:pt>
                <c:pt idx="24">
                  <c:v>0.67</c:v>
                </c:pt>
                <c:pt idx="25">
                  <c:v>0.69</c:v>
                </c:pt>
                <c:pt idx="26">
                  <c:v>0.69</c:v>
                </c:pt>
                <c:pt idx="27">
                  <c:v>0.84</c:v>
                </c:pt>
                <c:pt idx="28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300032"/>
        <c:axId val="143509760"/>
      </c:barChart>
      <c:catAx>
        <c:axId val="72300032"/>
        <c:scaling>
          <c:orientation val="minMax"/>
        </c:scaling>
        <c:delete val="0"/>
        <c:axPos val="l"/>
        <c:majorTickMark val="out"/>
        <c:minorTickMark val="none"/>
        <c:tickLblPos val="nextTo"/>
        <c:crossAx val="143509760"/>
        <c:crosses val="autoZero"/>
        <c:auto val="1"/>
        <c:lblAlgn val="ctr"/>
        <c:lblOffset val="100"/>
        <c:noMultiLvlLbl val="0"/>
      </c:catAx>
      <c:valAx>
        <c:axId val="143509760"/>
        <c:scaling>
          <c:orientation val="minMax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crossAx val="72300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A34F4A-967B-49D1-8C07-C6242D54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10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Wach</dc:creator>
  <cp:lastModifiedBy>Krzysztof Wach</cp:lastModifiedBy>
  <cp:revision>316</cp:revision>
  <cp:lastPrinted>2014-07-31T22:30:00Z</cp:lastPrinted>
  <dcterms:created xsi:type="dcterms:W3CDTF">2014-07-29T17:49:00Z</dcterms:created>
  <dcterms:modified xsi:type="dcterms:W3CDTF">2016-01-10T10:33:00Z</dcterms:modified>
</cp:coreProperties>
</file>